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GK.SIK718</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- 30 godzin,
b) udział w konsultacjach - 5 godzin.
2) Praca własna studenta - 40 godzin, w tym:
a) przygotowanie do zajęć - 10 godzin,
b) przygotowanie do sprawdzianów - 30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punkta ECTS - 35 godzin, w tym:
a) uczestnictwo w wykładach - 30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prawa cywilnego i administracyjnego, katastru nieruchomości oraz podstaw gospodarki gruntami na obszarach wiejskich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z zakresu podstaw prawnych gospodarowania nieruchomościami Skarbu Państwa i jednostek samorządu terytorialnego, wywłaszczania nieruchomości oraz nabywania nieruchomości dla realizacji celów publicznych w trybie przepisów szczególnych. </w:t>
      </w:r>
    </w:p>
    <w:p>
      <w:pPr>
        <w:keepNext w:val="1"/>
        <w:spacing w:after="10"/>
      </w:pPr>
      <w:r>
        <w:rPr>
          <w:b/>
          <w:bCs/>
        </w:rPr>
        <w:t xml:space="preserve">Treści kształcenia: </w:t>
      </w:r>
    </w:p>
    <w:p>
      <w:pPr>
        <w:spacing w:before="20" w:after="190"/>
      </w:pPr>
      <w:r>
        <w:rPr/>
        <w:t xml:space="preserve">Wykład: Kompetencje organów administracji publicznej w zakresie gospodarowania nieruchomościami. Zasoby nieruchomości. Cele publiczne w gospodarce nieruchomościami. Wywłaszczanie nieruchomości, ograniczenie sposobu korzystania z nieruchomości, odszkodowania, zwrot wywłaszczonych nieruchomości. Obrót nieruchomościami stanowiącymi własność Skarbu Państwa lub jednostek samorządu terytorialnego. Prawo pierwokupu nieruchomości. Pierwszeństwo nabycia nieruchomości. Podziały nieruchomości. Scalenie i podział nieruchomości. Opłaty adiacenckie. Opłata planistyczna. Nabywanie nieruchomości przez cudzoziemców. Uwłaszczenie osób prawnych. Przekształcenie prawa użytkowania wieczystego w prawo własności nieruchomości. Przepisy szczególne w gospodarce nieruchomościami.
</w:t>
      </w:r>
    </w:p>
    <w:p>
      <w:pPr>
        <w:keepNext w:val="1"/>
        <w:spacing w:after="10"/>
      </w:pPr>
      <w:r>
        <w:rPr>
          <w:b/>
          <w:bCs/>
        </w:rPr>
        <w:t xml:space="preserve">Metody oceny: </w:t>
      </w:r>
    </w:p>
    <w:p>
      <w:pPr>
        <w:spacing w:before="20" w:after="190"/>
      </w:pPr>
      <w:r>
        <w:rPr/>
        <w:t xml:space="preserve">Zaliczenie wykładu: sprawdzian pisemny w dniu ostatniego wykładu. 
Forma zaliczenia: test wielokrotnego wyboru (a,b,c)
Zaliczenie przedmiotu - ocena pozytywna ze sprawdzianu.
Podczas sprawdzianu zabrania się korzystania z materiałów analogowych i urządzeń 
elektronicznych.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Sobolewska-Mikulska, A. Cienciała, Problematyka geodezyjno-prawna w procesie ustalania stanu prawnego nieruchomości w Polsce –  OW PW 2017
2. T. Woś, Wywłaszczenie nieruchomości i ich zwrot - Wyd. LexisNexis, Warszawa 2015
3. M. Gdesz, A. Trembecka, Publiczne prawo nieruchomości dla geodetów – Wyd. Gall, Katowice 2013
4. Gdesz M., Trembecka A., Regulowanie stanu prawnego nieruchomości pod drogi - Wyd. Gall Katowice 2011
5. R. Hycner, Zagadnienia geodezyjno-prawne w gospodarce nieruchomościami – Wyd. Gall 2006
6. Ustawa z dnia 21 sierpnia 1997r.o gospodarce nieruchomościami (t.j. Dz. U. z 2021 r.  poz. 1899, z 2022 r. poz. 1846.)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w:t>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GK.SIK718_K01: </w:t>
      </w:r>
    </w:p>
    <w:p>
      <w:pPr/>
      <w:r>
        <w:rPr/>
        <w:t xml:space="preserve">rozumie potrzebę i zna możliwości ciągłego dokształcania się</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GK.SIK718_W01: </w:t>
      </w:r>
    </w:p>
    <w:p>
      <w:pPr/>
      <w:r>
        <w:rPr/>
        <w:t xml:space="preserve">ma podstawową wiedzę techniczną i prawną z zakresu gospodarki nieruchomościami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 K_W16, K_W22</w:t>
      </w:r>
    </w:p>
    <w:p>
      <w:pPr>
        <w:spacing w:before="20" w:after="190"/>
      </w:pPr>
      <w:r>
        <w:rPr>
          <w:b/>
          <w:bCs/>
        </w:rPr>
        <w:t xml:space="preserve">Powiązane efekty obszarowe: </w:t>
      </w:r>
      <w:r>
        <w:rPr/>
        <w:t xml:space="preserve">T1A_W03, T1A_W08, T1A_W05, T1A_W06, T1A_W07, T1A_W03, T1A_W08</w:t>
      </w:r>
    </w:p>
    <w:p>
      <w:pPr>
        <w:pStyle w:val="Heading3"/>
      </w:pPr>
      <w:bookmarkStart w:id="4" w:name="_Toc4"/>
      <w:r>
        <w:t>Profil ogólnoakademicki - umiejętności</w:t>
      </w:r>
      <w:bookmarkEnd w:id="4"/>
    </w:p>
    <w:p>
      <w:pPr>
        <w:keepNext w:val="1"/>
        <w:spacing w:after="10"/>
      </w:pPr>
      <w:r>
        <w:rPr>
          <w:b/>
          <w:bCs/>
        </w:rPr>
        <w:t xml:space="preserve">Efekt GK.SIK718_U01: </w:t>
      </w:r>
    </w:p>
    <w:p>
      <w:pPr/>
      <w:r>
        <w:rPr/>
        <w:t xml:space="preserve">potrafi pracować indywidualnie i w zespole, potrafi korzystać z danych państwowego zasobu geodezyjnego i kartograficznego</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K_U01, K_U02, K_U06, K_U17, K_U20</w:t>
      </w:r>
    </w:p>
    <w:p>
      <w:pPr>
        <w:spacing w:before="20" w:after="190"/>
      </w:pPr>
      <w:r>
        <w:rPr>
          <w:b/>
          <w:bCs/>
        </w:rPr>
        <w:t xml:space="preserve">Powiązane efekty obszarowe: </w:t>
      </w:r>
      <w:r>
        <w:rPr/>
        <w:t xml:space="preserve">T1A_U01, T1A_U02, T1A_U05, T1A_U13, T1A_U14, T1A_U16, T1A_U07, T1A_U11, T1A_U12</w:t>
      </w:r>
    </w:p>
    <w:p>
      <w:pPr>
        <w:pStyle w:val="Heading3"/>
      </w:pPr>
      <w:bookmarkStart w:id="5" w:name="_Toc5"/>
      <w:r>
        <w:t>Profil ogólnoakademicki - kompetencje społeczne</w:t>
      </w:r>
      <w:bookmarkEnd w:id="5"/>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2025-10-06T11:10:54+02:00</dcterms:created>
  <dcterms:modified xsi:type="dcterms:W3CDTF">2025-10-06T11:10:54+02:00</dcterms:modified>
</cp:coreProperties>
</file>

<file path=docProps/custom.xml><?xml version="1.0" encoding="utf-8"?>
<Properties xmlns="http://schemas.openxmlformats.org/officeDocument/2006/custom-properties" xmlns:vt="http://schemas.openxmlformats.org/officeDocument/2006/docPropsVTypes"/>
</file>