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geodezyjnych pomiarów szczegółowych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Łapiński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systemów informacji o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
o różnym pokryciu i użytkowaniu.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zaliczenie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Rozporządzenie Ministra Administracji i Cyfryzacji z dn. 14 lutego 2012 r. w sprawie osnów geodezyjnych, grawimetrycznych i magnetycznych, Dz.U. z dn. 30 marca 2012 r., poz. 352;
5. Rozporządzenie Ministra Administracji i Cyfryzacji z dn. 2 listopada 2015 r. w sprawie bazy danych geodezyjnej obiektów topograficznych oraz mapy zasadniczej, Dz.U. z dn. 3 grudnia 2015 r., poz. 2028;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GK.SIK621_U01: </w:t>
      </w:r>
    </w:p>
    <w:p>
      <w:pPr/>
      <w:r>
        <w:rPr/>
        <w:t xml:space="preserve">Potrafi zakładać punkty osnów szczegółowych metodą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GK.SIK621_K01: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GK.SIK621_K02: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GK.SIK621_K03: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2026-10-15T12:02:23+02:00</dcterms:created>
  <dcterms:modified xsi:type="dcterms:W3CDTF">2026-10-15T12:02:23+02:00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