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GK.SIJ3_W01: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GK.SIJ3_U01: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T1A_U02, T1A_U01, T1A_U06</w:t>
      </w:r>
    </w:p>
    <w:p>
      <w:pPr>
        <w:pStyle w:val="Heading3"/>
      </w:pPr>
      <w:bookmarkStart w:id="4" w:name="_Toc4"/>
      <w:r>
        <w:t>Profil ogólnoakademicki - kompetencje społeczne</w:t>
      </w:r>
      <w:bookmarkEnd w:id="4"/>
    </w:p>
    <w:p>
      <w:pPr>
        <w:keepNext w:val="1"/>
        <w:spacing w:after="10"/>
      </w:pPr>
      <w:r>
        <w:rPr>
          <w:b/>
          <w:bCs/>
        </w:rPr>
        <w:t xml:space="preserve">Efekt GK.SIJ3_K01: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2026-10-15T08:12:51+02:00</dcterms:created>
  <dcterms:modified xsi:type="dcterms:W3CDTF">2026-10-15T08:12:51+02:00</dcterms:modified>
</cp:coreProperties>
</file>

<file path=docProps/custom.xml><?xml version="1.0" encoding="utf-8"?>
<Properties xmlns="http://schemas.openxmlformats.org/officeDocument/2006/custom-properties" xmlns:vt="http://schemas.openxmlformats.org/officeDocument/2006/docPropsVTypes"/>
</file>