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
o różnym pokryciu i użytkowaniu.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 U. z 2020 r., poz. 1429);
5. Rozporządzenie Ministra Administracji i Cyfryzacji z dn. 14 lutego 2012 r. w sprawie osnów geodezyjnych, grawimetrycznych i magnetycznych, Dz.U. z dn. 30 marca 2012 r., poz. 352;
6. Rozporządzenie Ministra Rozwoju, Pracy i Technologii z dnia 6 lipca 2021 r. w sprawie osnów  geodezyjnych, grawimetrycznych i magnetycznych (Dz. U. z 2021 r.  poz. 1341);
7. Rozporządzenie Ministra Rozwoju, Pracy i Technologii z dn. 23 lipca 2021 r. w sprawie bazy danych obiektów topograficznych oraz mapy zasadniczej (Dz.U. z dn. 30 lipca 2021 r., poz. 1385);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GK.NIK622_U1: </w:t>
      </w:r>
    </w:p>
    <w:p>
      <w:pPr/>
      <w:r>
        <w:rPr/>
        <w:t xml:space="preserve">Potrafi zakładać punkty osnów szczegółowych metoda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GK.NIK622_K2: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GK.NIK622_K3: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2026-08-06T01:04:20+02:00</dcterms:created>
  <dcterms:modified xsi:type="dcterms:W3CDTF">2026-08-06T01:04:20+02:00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