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I.d / Przedmiot obieralny (z grupy HES,...) Polska w Unii Europejskiej. Możliwości Korzystania z Funduszy Unijnych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 godzin, w tym:
a) wykład - 8 godz.
c) konsultacje - 2 godz.
2. Praca własna studenta: 40 godzin, w tym:
a) 20 godz. - bieżące przygotowywanie się do wykładów;
b) 20 godz. - przygotowywanie się do kolokwium;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10 godzin, w tym:
a) wykład - 8 godz.
c) konsultacje - 2 godz.
RAZEM: 10 godzin, co odpowiada 0.4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zdobycie przez studentów wiedzy na temat UE i integracji Polski w ramach UE oraz nabycie przez nich wiadomości i umiejętności przydatnych do pozyskiwania środków z funduszy i programów UE, np. umiejętności wyszukiwania informacji o UE i oferowanych przez nią funduszy dla różnych kategorii ewentualnych beneficjantów.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 prawa unijnego – elementy składowe, zasady (po wejściu w życie Traktatu z Lizbony).
2.	Główne organy (tzw. instytucje UE) i procedury decyzyjne Unii Europejskiej i EURATOM-u po wejściu w życie Traktatu z Lizbony.
3.	Integracja Polski z UE.
4.	Geneza i ewolucja polityki regionalnej UE (założenia, okresy, cele, zasady, instrumenty, ocena) .
5.	Środki  z unijnych funduszy strukturalnych i Funduszu Spójności dla Polski w latach 2014-2020. Ogólna charakterystyka polskich Programów Operacyjnych i instytucjonalnego schematu zarządzania ich realizacją.
6.	„Horyzont 2020 – Program Ramowy w zakresie badań naukowych i innowacji (2014-2020)”
7.	Unijny program edukacyjny ErasmusPlus: wyjazdy studentów na studia i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.Jacek Barcik, Aleksandra Wentkowska: Prawo Unii Europejskiej, Wydawnictwo C.H.Beck, Warszawa  2014
2.	 Prawo Unii Europejskiej. Vademecum. Instytucje i porządek prawny. Prawo materialne; praca zbiorowa pod red. A. Zawadzkiej-Łojek, R. Grzeszczaka, A. Łazowskiego, Instytut Wydawniczy EuroPrawo, Warszawa  2014
3.	Sławomir Pastuszka: Polityka regionalna Unii Europejskiej – cele, narzędzia, efekty; wydawnictwo Difin SA, Warszawa 2012
Adresy internetowe: www.europa.eu  ,  www.polskawue.gov.pl, www.funduszeeuropejskie.gov.pl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K_W23: </w:t>
      </w:r>
    </w:p>
    <w:p>
      <w:pPr/>
      <w:r>
        <w:rPr/>
        <w:t xml:space="preserve">ma podstawową wiedzę z zakresu zarządzania, w tym zarządzania jakością; zna ogólne zasady tworzenia i rozwoju form indywidualnej przedsiębiorczości, wykorzystującej wiedzę z zakresu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ma umiejętność samokształcenia się, m.in. w celu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K_K03, K_K04, K_K05, K_K06: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
ma świadomość ważności i rozumie pozatechniczne aspekty i skutki działalności inżyniera geodety i kartografa, w tym jej wpływ na środowisko i konflikty społeczne, i związaną z tym odpowiedzialność za podejmowane decyzje
ma świadomość ważności zachowania w sposób profesjonalny, przestrzegania zasad etyki zawodowej i poszanowania różnorodności poglądów i kultur
ma świadomość odpowiedzialności za pracę własną oraz gotowość podporządkowania się zasadom pracy w zespole i ponoszenia odpowiedzialności za wspólnie realizowane zadania
potrafi myśleć i działać w sposób przedsiębiorczy
ma świadomość roli społecznej absolwenta uczelni technicznej, a zwłaszcza rozumie potrzebę formułowania i przekazywania społeczeństwu - m.in. poprzez środki masowego przekazu - informacji i opinii dotyczących osiągnięć geodezji i kartografii i innych aspektów działalności inżyniera geodety i kartografa; podejmuje starania, aby przekazać takie informacje i opinie w sposób powszechnie zrozumiały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2026-10-14T07:01:40+02:00</dcterms:created>
  <dcterms:modified xsi:type="dcterms:W3CDTF">2026-10-14T07:01:40+02:00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