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80 godzin, w tym:
a) uczestnictwo w wykładach - 30 godzin
b) uczestnictwo w ćwiczeniach - 45 godzin,
c) udział w konsultacjach związanych z realizacją ćwiczeń - 5 godzin.
2) Praca własna studenta -  45 godzin, w tym:
a) zapoznanie się ze wskazaną literaturą - 15 godzin,
b)  realizacja zadań projektowych w domu - 20 godzin,
c) przygotowanie do egzaminu  i obecność na egzaminie - 10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3,2 punktu ECTS - liczba godzin kontaktowych - 80 godzin, w tym:
a) uczestnictwo w wykładach - 30 godzin
b) uczestnictwo w ćwiczeniach - 45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 punktu ECTS - 80 godzin, w tym:
a) uczestnictwo w ćwiczeniach - 45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prowadzonym na 1 stopniu studiów kier. Geodezja i Kartografia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 Tworzenie Zintegrowanego Systemu Informacji o Nieruchomościach. Zapoznanie się z systemami katastralnymi funkcjonującymi w krajach Unii Europejskiej oraz kierunkami rozwoju katastru na świecie. Przybliżenie idei katastru trójwymiarowego w aspekcie zarówno prawnym i technicznym.</w:t>
      </w:r>
    </w:p>
    <w:p>
      <w:pPr>
        <w:keepNext w:val="1"/>
        <w:spacing w:after="10"/>
      </w:pPr>
      <w:r>
        <w:rPr>
          <w:b/>
          <w:bCs/>
        </w:rPr>
        <w:t xml:space="preserve">Treści kształcenia: </w:t>
      </w:r>
    </w:p>
    <w:p>
      <w:pPr>
        <w:spacing w:before="20" w:after="190"/>
      </w:pPr>
      <w:r>
        <w:rPr/>
        <w:t xml:space="preserve">Szczegółowe zasady pozyskiwania danych o budynkach dla celów związanych z modernizacją katastru nieruchomości – analiza przypadków praktycznych, orzecznictwo, problematyka określania zgodności wybudowania obiektu z projektem zagospodarowania terenu. Zaliczanie gruntów do poszczególnych użytków gruntowych – analiza przypadków praktycznych, interpretacja przepisów, orzecznictwo, skutki prawne. Zasady obliczania powierzchni użytkowej lokali dla celów związanych z prowadzeniem katastru oraz dla celów związanych z gospodarką nieruchomościami. Normy branżowe polskie (PN-70/B-02365, PN-ISO 9836:1997, PN-ISO 9836:2015-12) oraz zagraniczne (ANSI/BOMA Z65.1-2010, norma GIF, standardy RISC, norma IPMS – Office Buildings). Zasady weryfikacji powierzchni inwentaryzowanych obiektów (lokali) – analiza dokładnościowa. Aktualne procedury przepływu informacji katastralnej w Polsce – między systemami katastru i ksiąg wieczystych.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Systemy katastralne w wybranych krajach Unii Europejskiej (Holandia, Austria, Szwecja, Niemcy – wybrane landy) – aspekty organizacyjne i techniczne, powiązanie komponentu katastru fizycznego z księgami wieczystymi oraz odniesienie do rozwiązań polskich. Kataster 3D – idea katastru trójwymiarowego, rozwiązania istniejące, proponowane rozwiązania modelowe, kierunki badań. Norma ISO 19152 – Land Administration Domain Model (LADM) oraz standard CityGML - ich rola i wykorzystanie w budowaniu katastru 3D. Wizualizacja danych katastralnych, w tym na potrzeby nowoczesnych systemów katastralnych 3D.
Ćwiczenia projektowe:
Przygotowanie dokumentacji modernizacji ewidencji gruntów i budynków, w tym założenie bazy danych ewidencyjnych w programach Ewmapa i Ewopis oraz sporządzenie dokumentacji w postaci analogowej obejmującej: Spis dokumentów operatu technicznego, Sprawozdanie techniczne zawierające w szczególności analizę zapisów warunków technicznych obiektu pod kątem ich zgodności z obowiązującymi przepisami prawa, Protokoły badań ksiąg wieczystych, Obliczenia pól powierzchni działek ewidencyjnych oraz powierzchni zabudowy, Wyrys z mapy ewidencyjnej, Wypisy z rejestru gruntów, Wypis z rejestru budynków, Wypis z rejestru lokali.
Pozyskanie danych do numerycznego opisu granic działek ewidencyjnych na podstawie dokumentacji źródłowej (zarysy pomiarowe, szkice wyznaczenia działek po scaleniu itd.) oraz sporządzenie dokumentacji w postaci protokołu ustalenia przebiegu granic działek ewidencyjnych w trybie przepisów rozporządzenia Ministra Rozwoju, Pracy i Technologii z dnia 27 lipca 2021 r. w sprawie ewidencji gruntów i budynków wraz z obliczeniami, szkicem do obliczeń, zawiadomieniami stron o ww. czynnościach i sprawozdaniem technicznym. Obliczenie powierzchni użytkowej lokalu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lub za pośrednictwem platformy MS TEAMS.
Materiały i prezentacje wykładowe udostępniane będą w aplikacji Microsoft Teams. Aplikacja jest dostępna dla każdego studenta Politechniki Warszawskiej w ramach pakietu Microsot Office 365.
Wykład: 
Egzamin w formie pytań otwartych wg harmonogramu sesji. Do zaliczenia niezbędne uzyskanie minimum 55% punktów.
Komunikacja wykład: 
W ramach przedmiotu oprócz konsultacji w formie tradycyjnej (termin podany w grafiku zakładu) przewiduje się także użycie następujących kanałów komunikacji zdalnej: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są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Do zaliczenia sprawdzianu (egzamin) wymagane jest uzyskanie minimum 55% punktów. Możliwość poprawy sprawdzianu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ROZWOJU, PRACY I TECHNOLOGII z dnia 27 lipca 2021 r. w sprawie ewidencji gruntów i budynków
Rozporządzenie Ministra Rozwoju z dnia 18 sierpnia 2020r. w sprawie standardów technicznych wykonywania geodezyjnych pomiarów sytuacyjnych i wysokościowych oraz opracowywania i przekazywania wyników tych pomiarów do państwowego zasobu geodezyjnego i kartograficznego 
Rozporządzenie ministra Rozwoju, Pracy i Technologii z dnia 7 lipca 2021r.  zmieniające rozporządzenie w sprawie standardów technicznych wykonywania geodezyjnych pomiarów sytuacyjnych i wysokościowych oraz opracowywania i przekazywania wyników tych pomiarów do państwowego _x000B_zasobu geodezyjnego i kartograficznego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RADY MINISTRÓW z dnia 14 października 2022r. w sprawie zintegrowanego systemu informacji o nieruchomościach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ROZPORZĄDZENIE MINISTRA ROZWOJU z dnia 18 sierpnia 2020 r. w sprawie standardów technicznych wykonywania geodezyjnych pomiarów sytuacyjnych i wysokościowych oraz opracowywania i przekazywania wyników tych pomiarów do państwowego zasobu geodezyjnego i kartograficznego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historii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Orzecznictwo sądowe w omawianym zakresie.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GK.SMS271_W1: </w:t>
      </w:r>
    </w:p>
    <w:p>
      <w:pPr/>
      <w:r>
        <w:rPr/>
        <w:t xml:space="preserve">Ma specjalistyczną, poszerzoną i uporządkowaną wiedzę na temat źródeł i zasad zasilania baz danych katastralnych, w tym szczegółową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T2A_W04, T2A_W07, T2A_W08, T2A_W03, T2A_W10, T2A_W08, T2A_W09, T2A_W02, T2A_W03, T2A_W04, T2A_W05</w:t>
      </w:r>
    </w:p>
    <w:p>
      <w:pPr>
        <w:pStyle w:val="Heading3"/>
      </w:pPr>
      <w:bookmarkStart w:id="3" w:name="_Toc3"/>
      <w:r>
        <w:t>Profil ogólnoakademicki - umiejętności</w:t>
      </w:r>
      <w:bookmarkEnd w:id="3"/>
    </w:p>
    <w:p>
      <w:pPr>
        <w:keepNext w:val="1"/>
        <w:spacing w:after="10"/>
      </w:pPr>
      <w:r>
        <w:rPr>
          <w:b/>
          <w:bCs/>
        </w:rPr>
        <w:t xml:space="preserve">Efekt GK.SMS271_U1: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T2A_U09, T2A_U16, T2A_U18, T2A_U15, T2A_U07, T2A_U08, T2A_U10, T2A_U12, T2A_U16, T2A_U15, T2A_U07, T2A_U08, T2A_U09, T2A_U10, T2A_U14, T2A_U17, T2A_U18, T2A_U07,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GK.SMS271_K1: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2026-06-05T10:22:43+02:00</dcterms:created>
  <dcterms:modified xsi:type="dcterms:W3CDTF">2026-06-05T10:22:43+02:00</dcterms:modified>
</cp:coreProperties>
</file>

<file path=docProps/custom.xml><?xml version="1.0" encoding="utf-8"?>
<Properties xmlns="http://schemas.openxmlformats.org/officeDocument/2006/custom-properties" xmlns:vt="http://schemas.openxmlformats.org/officeDocument/2006/docPropsVTypes"/>
</file>