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30
3. Godziny pracy samodzielnej studenta w ramach przygotowania do zajęć oraz opracowania sprawozdań, projektów, prezentacji, raportów, prac domowych etc.	23
4. Godziny pracy samodzielnej studenta w ramach przygotowania do egzaminu, sprawdzianu, zaliczenia etc.	45
Sumaryczny nakład pracy studenta	143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1. 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3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Egzamin ma charakter pisemny. 
Egzamin pisemny trwa 120 minut. Do wykonania są 4 zadania – każde zadanie punktowane w skali od 0 do 10 punktów. Pozwala to na uzyskanie do 40 punktów z części pisemnej. 
Skala ocen z egzaminu w zależności od liczby uzyskanych punktów: 
(20,0 – 23,5) ocena: 3,0 
(24,0 – 27,5) ocena: 3,5 
(28,0 - 31,5) ocena: 4,0 
(32,0 – 35,5) ocena: 4,5 
(36,0 – 40,0) ocena: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dotycząca bilansowania reaktorów idealnych z uwzględnieniem kinetyk reakcji prostych i złożonych przebiegających w układach homogenicznych. Posiada podstawową wiedzę umożliwiającą uwzględnianie efektów cieplnych reakcji w bilansach reaktorów idealnych.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dotyczącą opisu pracy reaktorów nieidealnych (rzeczywistych) z uwzględnianiem problemów stabilności pracy reaktorów oraz wpływu makro i mikromieszania na stopień przemiany i selektywność przebiegu reakcji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dotyczącą problemu opisu i bilansowania bioreaktorów z uwzględnieniem specyficznych kinetyk katalizy enzymatycznej w układach homogenicznych oraz w układach                z enzymami unieruchomionymi.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przedstawić podstawowe bilanse reaktorów idealnych. Potrafi projektować procesy zachodzące w reaktorach z udziałem homogenicznych reakcji chemicznych, przy założeniu o idealnym mieszaniu, w układach pracujących w warunkach izotermicznych i adiabatycznych. </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U2: </w:t>
      </w:r>
    </w:p>
    <w:p>
      <w:pPr/>
      <w:r>
        <w:rPr/>
        <w:t xml:space="preserve">Potrafi projektować podstawowe procesy zachodzące w reaktorach rzeczywistych z uwzględnieniem wpływu makro i mikromieszania na przebieg prostych i złożonych reakcji chemicznych. Potrafi określać  stabilność pracy reaktorów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podstawowe umiejętności z zakresu projektowania pracy bioreaktorów, ze szczególnym uwzględnieniem reakcji katalizowanych przez enzymy homogeniczne i enzymy unieruchomione.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2026-10-15T09:01:43+02:00</dcterms:created>
  <dcterms:modified xsi:type="dcterms:W3CDTF">2026-10-15T09:01:43+02:00</dcterms:modified>
</cp:coreProperties>
</file>

<file path=docProps/custom.xml><?xml version="1.0" encoding="utf-8"?>
<Properties xmlns="http://schemas.openxmlformats.org/officeDocument/2006/custom-properties" xmlns:vt="http://schemas.openxmlformats.org/officeDocument/2006/docPropsVTypes"/>
</file>