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prof. dr hab. inż. Tomasz Ciach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50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mogą rejestrować obraz i dźwięk podczas zajęć bez prawa rozpowszechniania nagrań. Przedmiot jest realizowany formie wykładu (30 godz.) i zajęć laboratoryjnych (20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Wykład
1. Inżynieria biomedyczna – wprowadzenie.
2. Biomateriały .
3. Sztuczne narządy.
4. Odpowiedź organizmu na biomateriał.
5. Inżynieria tkankowa.
6. Obrazowanie medyczne.
Laboratorium
1. Konsultacje projektowe – opracowanie metodyki wytwarzania wybranego biomateriału o zadanych właściwościach.
2. Laboratorium – otrzymanie materiału oraz analiza jego właściwości fizykochemicznych.
3. Prezentacje otrzymanych wyników.
</w:t>
      </w:r>
    </w:p>
    <w:p>
      <w:pPr>
        <w:keepNext w:val="1"/>
        <w:spacing w:after="10"/>
      </w:pPr>
      <w:r>
        <w:rPr>
          <w:b/>
          <w:bCs/>
        </w:rPr>
        <w:t xml:space="preserve">Metody oceny: </w:t>
      </w:r>
    </w:p>
    <w:p>
      <w:pPr>
        <w:spacing w:before="20" w:after="190"/>
      </w:pPr>
      <w:r>
        <w:rPr/>
        <w:t xml:space="preserve">1. egzamin ustny
2. kolokwium
3. referat
4. sprawozdanie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Cześć wykładowa przedmiotu składa się z 13 wykładów po 2 godziny wykładowe bez wliczania czasu na kolokwia końcowe. Udział w wykładach jest nieobowiązkowy. Warunkiem zaliczenia części wykładowej przedmiotu jest zaliczenie egzaminu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Laboratorium:
Część laboratoryjna składa się z jednego spotkania w formie konsultacji, dwóch ćwiczeń laboratoryjnych oraz spotkania końcowego. Ćwiczenia wykonywane są w podgrupach, zgodnie z harmonogramem ustalanym przez prowadzącego ćwiczenia. Harmonogram zajęć dostępny jest do pobrania na stronie www.biomedlab.pw.edu.pl, w dziale „Pliki do pobrania”. Udział we wszystkich czterech spotkaniach jest obowiązkowy. W przypadku zajęć zdalnych ćwiczenia będą prowadzone za pośrednictwem MS Teams.
Warunkiem dopuszczenia studenta do realizacji ćwiczeń laboratoryjnych jest wcześniejsze dostarczenie prowadzącemu (w formie i terminie ustalonym z prowadzącym) instrukcji do ćwiczeń. Do udziału w zajęciach laboratoryjnych nie jest wymagane zaliczenie części wykładowej. Warunkiem zaliczenia ćwiczeń laboratoryjnych jest: opracowanie zagadnień podanych w temacie projektu (weryfikacja przygotowania odbywa się na spotkaniu konsultacyjnym), przygotowanie instrukcji do ćwiczeń, poprawne wykonanie zaplanowanych doświadczeń oraz przygotowanie i wygłoszenie referatu końcowego prezentującego otrzymane wyniki.
Ocena końcowa jest średnią z trzech ocen cząstkowych: (1) przygotowanie do konsultacji i przygotowanie instrukcji do ćwiczeń, (2) wykonanie doświadczeń, (3) prezentacja wyników końcowych. W przypadku zajęć zdalnych podstawą do wystawienia oceny końcowej będzie przygotowania i wygłoszenie prezentacji końcowej (spotkanie online za pomocą MS Teams). Oceny pozytywne nie podlegają poprawie. 
Warunkiem zaliczenia przedmiotu jest uzyskanie pozytywnych ocen z części wykładowej i laboratoryjnej. Ocenę końcową z przedmiotu stanowi średnia ważona ocen uzyskanych z części wykładowej i laboratoryjnej, zgodnie ze skalą ocen &lt;3,0 – 2,0; 3,00-3,40 – 3,0; 3,41-3,80 – 3,5; 3,81-4,20 – 4,0; 4,21-4,60 – 4,5; 4,61-5,00 – 5,0, przy czym waga oceny z części wykładowej wynosi 0,6, zaś z części laboratoryjnej - 0,4.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 </w:t>
      </w:r>
    </w:p>
    <w:p>
      <w:pPr>
        <w:spacing w:before="60"/>
      </w:pPr>
      <w:r>
        <w:rPr/>
        <w:t xml:space="preserve">Weryfikacja: </w:t>
      </w:r>
    </w:p>
    <w:p>
      <w:pPr>
        <w:spacing w:before="20" w:after="190"/>
      </w:pPr>
      <w:r>
        <w:rPr/>
        <w:t xml:space="preserve">egzamin ustny, 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w:t>
      </w:r>
    </w:p>
    <w:p>
      <w:pPr>
        <w:spacing w:before="60"/>
      </w:pPr>
      <w:r>
        <w:rPr/>
        <w:t xml:space="preserve">Weryfikacja: </w:t>
      </w:r>
    </w:p>
    <w:p>
      <w:pPr>
        <w:spacing w:before="20" w:after="190"/>
      </w:pPr>
      <w:r>
        <w:rPr/>
        <w:t xml:space="preserve">egzamin ustny, referat, sprawozdanie, dyskusja, seminarum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egzamin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2026-10-14T12:20:27+02:00</dcterms:created>
  <dcterms:modified xsi:type="dcterms:W3CDTF">2026-10-14T12:20:27+02:00</dcterms:modified>
</cp:coreProperties>
</file>

<file path=docProps/custom.xml><?xml version="1.0" encoding="utf-8"?>
<Properties xmlns="http://schemas.openxmlformats.org/officeDocument/2006/custom-properties" xmlns:vt="http://schemas.openxmlformats.org/officeDocument/2006/docPropsVTypes"/>
</file>