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Degradacja strukturalna materiałów/ Structural Degradation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Zagórski,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- 15 godz., udział w ćwiczeniach - 15 godz., praca własna studenta i przygotowanie się do prezentacji 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przyczynach zachodzenia degradacji strukturalnej materiałów, zasadach projektowania materiałów pracujących w warunkach degradacji, degradacja w warunkach pełzania, wpływ promieniowania na degradację materiałów, zasady projektowania materiałów pracujących w warunkach degradacji.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M.F. Ashby, D.R.H. Jones, Materiały Inżynierskie 1 i 2, WNT 1997.
3. J. W. Wyrzkowski, J. Sieniawski, E. Pleszakow, Odkształcenie i Pękanie Metali, WNT 1998.
4. K.J. Kurzydłowski, B. Ralph: The quantitative description of the microstructure of materials, CRC Press,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DS_W1: </w:t>
      </w:r>
    </w:p>
    <w:p>
      <w:pPr/>
      <w:r>
        <w:rPr/>
        <w:t xml:space="preserve">Posiada podstawową wiedzę  o przyczynach zachodzenia degradacji strukturalnej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DS_U1: </w:t>
      </w:r>
    </w:p>
    <w:p>
      <w:pPr/>
      <w:r>
        <w:rPr/>
        <w:t xml:space="preserve">Potrafi ocenć  wpływ promieniowania na degradację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2025-12-27T12:34:30+01:00</dcterms:created>
  <dcterms:modified xsi:type="dcterms:W3CDTF">2025-12-27T12:34:30+01:00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