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- 31, w tym:
a) wykłady -15 godz.,
b)  ćwiczenia - 15 godz.,
c) konsultacje - 1 godz.
2. Praca własna studenta - 55 godzin, w tym:
a) powtórzenie materiału z wykładów - 10 godz.,
b) przygotowanie do ćwiczeń - 15 godz.,
c) przygotowanie do kolokwiów - 10 godz.,
d)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- 31, w tym:
a) wykłady -15 godz.,
b) 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przygotowanie do ćwiczeń - 15 godz.,
b) przygotowanie do kolokwiów - 10 godz.,
c)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"Zespoły Napędowe".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 dwuprzepływowego. Teoria silnika turbośmigłowego i śmigłowcowego. Komputerowe metody obliczeń obiegów termodynamicznych silników. Metody wyznaczania charakterystyk silników. Podstawowe systemy silników turbinowych.Tendencje rozwojowe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 i ocena pracy domowej własnej , w której studenci wykonują obliczenia różnych typów silników turbinowych i wyznaczają ich charakterystyki.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Dodatkowa literatura:
1. Materiały na stronie http://materialy.itc.pw.edu.pl/zsl/Lotnicze%20Silniki%20Turbinowe/ (do pobrania po zalogowoniu).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ML.NS607_W4: </w:t>
      </w:r>
    </w:p>
    <w:p>
      <w:pPr/>
      <w:r>
        <w:rPr/>
        <w:t xml:space="preserve">							Student zna tendencje rozwojowe lotniczych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2026-10-13T08:54:46+02:00</dcterms:created>
  <dcterms:modified xsi:type="dcterms:W3CDTF">2026-10-13T08:54:46+02:00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