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35 godzin, w tym:
a)	 15 godz. – przygotowywanie się studenta do  wykładów, zapoznanie się z wskazaną literaturą,
b)	15 godz. – przygotowanie się studenta do kolokwiów.
Razem - 62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Nabycie przez studentów wiedzy dot. analizy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I.P6S_WG.o, III.P6S_WG, P6U_W</w:t>
      </w:r>
    </w:p>
    <w:p>
      <w:pPr>
        <w:keepNext w:val="1"/>
        <w:spacing w:after="10"/>
      </w:pPr>
      <w:r>
        <w:rPr>
          <w:b/>
          <w:bCs/>
        </w:rPr>
        <w:t xml:space="preserve">Charakterystyka ML.NK399_W2: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2025-04-10T06:38:39+02:00</dcterms:created>
  <dcterms:modified xsi:type="dcterms:W3CDTF">2025-04-10T06:38:39+02:00</dcterms:modified>
</cp:coreProperties>
</file>

<file path=docProps/custom.xml><?xml version="1.0" encoding="utf-8"?>
<Properties xmlns="http://schemas.openxmlformats.org/officeDocument/2006/custom-properties" xmlns:vt="http://schemas.openxmlformats.org/officeDocument/2006/docPropsVTypes"/>
</file>