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w tym:
1. Liczba godzin wymagających bezpośredniego kontaktu z opiekunem: 40, w tym:
a) spotkania i konsultacje - 35 godz.
b) zaliczenie przedmiotu - 5 godz.
2. Liczba godzin pracy własnej: 110.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ETCS.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niewielka pomocą prowadzącego. W szczególności rozwiązania postawionego problemu, doboru literatury, metod badawczych, przedstawienia i krytycznej analizy wyników. 
Dokładna specyfikacja zalezna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ML.NK491_W1: </w:t>
      </w:r>
    </w:p>
    <w:p>
      <w:pPr/>
      <w:r>
        <w:rPr/>
        <w:t xml:space="preserve">Posiada zaawansowaną wiedzę dotyczącą zagadnień inżynierskich w zakresie mechaniki i budowy maszyn odpowiednią dla danej specjalizacji.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	ML.NK491_U1: </w:t>
      </w:r>
    </w:p>
    <w:p>
      <w:pPr/>
      <w:r>
        <w:rPr/>
        <w:t xml:space="preserve">PL] 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MiBM2_U02, MiBM2_U03, MiBM2_U04, 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ML.NK491_K1: </w:t>
      </w:r>
    </w:p>
    <w:p>
      <w:pPr/>
      <w:r>
        <w:rPr/>
        <w:t xml:space="preserve"> 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MBiM2_K04, MBiM2_K06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2026-10-16T21:12:12+02:00</dcterms:created>
  <dcterms:modified xsi:type="dcterms:W3CDTF">2026-10-16T21:12:12+02:00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