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ML.NK441_U1: </w:t>
      </w:r>
    </w:p>
    <w:p>
      <w:pPr/>
      <w:r>
        <w:rPr/>
        <w:t xml:space="preserve">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AiR2_U17, AiR2_U06, AiR2_U12, AiR2_U13, AiR2_U14, AiR2_U15, 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I.P8S_UW,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AiR2_U02, AiR2_U12, AiR2_U13, AiR2_U14, AiR2_U15, AiR2_U16, AiR2_U17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III.P7S_UW.o, I.P8S_UW,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p>
      <w:pPr>
        <w:keepNext w:val="1"/>
        <w:spacing w:after="10"/>
      </w:pPr>
      <w:r>
        <w:rPr>
          <w:b/>
          <w:bCs/>
        </w:rPr>
        <w:t xml:space="preserve">Charakterystyka ML.NK441_K2: </w:t>
      </w:r>
    </w:p>
    <w:p>
      <w:pPr/>
      <w:r>
        <w:rPr/>
        <w:t xml:space="preserve">Rozumie znaczenie wiedzy w rozwiązywaniu problemów poznawczych i praktycznych oraz potrzebę zasięgania opinii ekspertów w przypadku trudności w samodzielnym rozwiązywaniu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2026-10-14T16:56:33+02:00</dcterms:created>
  <dcterms:modified xsi:type="dcterms:W3CDTF">2026-10-14T16:56:33+02:00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