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Kosztorysowanie i organizacja robót</w:t>
      </w:r>
    </w:p>
    <w:p>
      <w:pPr>
        <w:keepNext w:val="1"/>
        <w:spacing w:after="10"/>
      </w:pPr>
      <w:r>
        <w:rPr>
          <w:b/>
          <w:bCs/>
        </w:rPr>
        <w:t xml:space="preserve">Koordynator przedmiotu: </w:t>
      </w:r>
    </w:p>
    <w:p>
      <w:pPr>
        <w:spacing w:before="20" w:after="190"/>
      </w:pPr>
      <w:r>
        <w:rPr/>
        <w:t xml:space="preserve">dr hab. inż. Paweł Falaciński - profesor uczelni, dr inż. Łukasz Szarek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1110-ISISW-ISP-7305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ćwiczenia komputerowe - 30 godzin, ćwiczenia projektowe - 15 godzin, zapoznanie się ze wskazaną literaturą - 5 godzin, przygotowanie do ćwiczeń komputerowych - 10 godzin, przygotowanie do ćwiczeń projektowych - 10 godzin, przygotowanie kosztorysu końcowego: 45 godzin, przygotowanie projektu końcowego: 45 godzin, przygotowanie do obrony pracy na ćwiczeniach oraz projektu i obecność na zaliczeniu - 5 godzin. Razem: 135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budownictwa i konstrukcji inżynierskich, wytrzymałości materiałów, rysunku technicznego, mechaniki gruntów.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nauczenie studiujących korzystania z dokumentacji inwestycyjnej, rozumienia zasad organizacji robót (w tym instalacyjnych) oraz sporządzania i oceny kosztorysów; a także kierowania pracami inwestycyjnymi. Studenci powinni zapoznać się z nowoczesnymi metodami organizacji i kontrolowania przebiegu procesu budowlanego, sporządzania harmonogramów budowlanych (w tym metodami sieciowymi) oraz zagospodarowania placu budowy. Istotną częścią przekazywanych treści są zagadnienia bezpieczeństwa i higieny pracy w budownictwie inżynieryjnym.</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przedmiotu;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wod-kan.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Kowalczyk Z., Zabielski J.: Kosztorysowanie i normowanie w budownictwie. WSiP. 
      Warszawa, 2005 r.
[3] Podręcznik użytkownika programu Norma Pro. AthenaSoft. Warszawa, 2003 r.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podbudowaną teoretycznie z zakresu technologii projektowania, budowy, modernizacji i eksploatacji obiektów inżynierii wodnej i sanitarnej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szczegółową wiedzę z zakresu możliwości korzystania z pakietów inżynierskiego oprogramowania</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analizę techniczno-ekonomiczną obiektów oraz konstrukcji stosowanych w praktyce w zakresie inżynierii sanitarnej i wodnej</w:t>
      </w:r>
    </w:p>
    <w:p>
      <w:pPr>
        <w:spacing w:before="60"/>
      </w:pPr>
      <w:r>
        <w:rPr/>
        <w:t xml:space="preserve">Weryfikacja: </w:t>
      </w:r>
    </w:p>
    <w:p>
      <w:pPr>
        <w:spacing w:before="20" w:after="190"/>
      </w:pPr>
      <w:r>
        <w:rPr/>
        <w:t xml:space="preserve">ćwiczenia komputerowe:
Czynny udział w zajęciach, wykonywanie prac cząstkowych kończących poszczególne zajęcia. Wykonanie projektu końcowego (kosztorysu) wybranej konstrukcji budowlanej.
ćwiczenia projektowe:
Przygotowanie i zaliczenie (obrona) ćwiczenia projektowego.
ocena końcowa: średnia arytmetyczna z oceny z ćwiczeń komputerowych oraz projektowych</w:t>
      </w:r>
    </w:p>
    <w:p>
      <w:pPr>
        <w:spacing w:before="20" w:after="190"/>
      </w:pPr>
      <w:r>
        <w:rPr>
          <w:b/>
          <w:bCs/>
        </w:rPr>
        <w:t xml:space="preserve">Powiązane charakterystyki kierunkowe: </w:t>
      </w:r>
      <w:r>
        <w:rPr/>
        <w:t xml:space="preserve">IS_U14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K03: </w:t>
      </w:r>
    </w:p>
    <w:p>
      <w:pPr/>
      <w:r>
        <w:rPr/>
        <w:t xml:space="preserve">Potrafi myśleć i działać w sposób przedsiębiorczy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2026-10-14T03:16:42+02:00</dcterms:created>
  <dcterms:modified xsi:type="dcterms:W3CDTF">2026-10-14T03:16:42+02:00</dcterms:modified>
</cp:coreProperties>
</file>

<file path=docProps/custom.xml><?xml version="1.0" encoding="utf-8"?>
<Properties xmlns="http://schemas.openxmlformats.org/officeDocument/2006/custom-properties" xmlns:vt="http://schemas.openxmlformats.org/officeDocument/2006/docPropsVTypes"/>
</file>