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- 10 godz., zapoznanie się z literaturą - 12 godz., przygotowanie projektu i obrona - 20 godz., przygotowanie do zaliczenia i obecność na nim - 9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Mrowiec M.: Retencja wód opadowych w obszarach zurbanizowanych, Wydawnictwo Politechniki Częstochowskiej, 2020.
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podstawowych procesach fizycznych odpowiedzialnych za zjawiska spływu i odpływu zachodzące w małych zlewniach.
</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Zna zależności zachodzące pomiędzy parametrami opadu a wielkością przepływów maksymalnych w zlewni i sposoby ich ograniczania.</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wyznaczać granice zlewni i budować sieć powiązań hydrograficznych.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U02: </w:t>
      </w:r>
    </w:p>
    <w:p>
      <w:pPr/>
      <w:r>
        <w:rPr/>
        <w:t xml:space="preserve">Absolwent potrafi posługiwać się prostymi modelami typu „opad-odpływ”.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IS_U02, 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2026-10-14T00:37:53+02:00</dcterms:created>
  <dcterms:modified xsi:type="dcterms:W3CDTF">2026-10-14T00:37:53+02:00</dcterms:modified>
</cp:coreProperties>
</file>

<file path=docProps/custom.xml><?xml version="1.0" encoding="utf-8"?>
<Properties xmlns="http://schemas.openxmlformats.org/officeDocument/2006/custom-properties" xmlns:vt="http://schemas.openxmlformats.org/officeDocument/2006/docPropsVTypes"/>
</file>