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1150-MBWIB-ISP-0406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a) wykład - 30 godz.;
b) konsultacje - 1 godz.;
2) Praca własna studenta - 25 godz.,
a) studia literaturowe - 15 godz.;
b) przygotowanie do kolokwium - 10 godz.;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1150-MBWIB-ISP-0406_W01: </w:t>
      </w:r>
    </w:p>
    <w:p>
      <w:pPr/>
      <w:r>
        <w:rPr/>
        <w:t xml:space="preserve">Ma uporządkowaną, podbudowaną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1150-MBWIB-ISP-0406_W02: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1150-MBWIB-ISP-0406_U01: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1150-MBWIB-ISP-0406_K1: </w:t>
      </w:r>
    </w:p>
    <w:p>
      <w:pPr/>
      <w:r>
        <w:rPr/>
        <w:t xml:space="preserve">Jest świadom zagrożeń wibroakustycznych występujących w środowisku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 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2026-10-14T16:05:17+02:00</dcterms:created>
  <dcterms:modified xsi:type="dcterms:W3CDTF">2026-10-14T16:05:17+02:00</dcterms:modified>
</cp:coreProperties>
</file>

<file path=docProps/custom.xml><?xml version="1.0" encoding="utf-8"?>
<Properties xmlns="http://schemas.openxmlformats.org/officeDocument/2006/custom-properties" xmlns:vt="http://schemas.openxmlformats.org/officeDocument/2006/docPropsVTypes"/>
</file>