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 godzin wykładu.
2) Praca własna studenta – 30 godzin, w tym:
a) praca własna studenta – 20 godzin (analiza literatury),
b) przygotowywanie się studenta do 2 kolokwiów – 10 godzin.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 
•	budowy, właściwości i zastosowaniach tworzyw ceramicznych, polimerów i kompozytów,
•	kształtowania właściwości materiałów technikami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(6 pytań otwartych w każdym kolokwium) i ew. weryfikacja formy pisemnej w trakcie rozmowy ze studentem.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2006,
•	Ashby M. F., Jones D. R. H., Materiały inżynierskie Tom 1 Właściwości i zastosowania, wydanie 1, WN-T, Warszawa 1995,
•	Ashby M. F., Jones D. R. H., Materiały inżynierskie Tom 2 Kształtowanie struktury i właściwości, dobór materiałów, wydanie 1, WN-T, Warszawa 1996,
•	Przybyłowicz K., Metaloznawstwo, wydanie 5 poprawione i uzupełnione, WN-T, Warszawa 1996, 
•	Prowans S., Metaloznawstwo, wydanie 1,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1150-MT000-ISP-0104_W1: </w:t>
      </w:r>
    </w:p>
    <w:p>
      <w:pPr/>
      <w:r>
        <w:rPr/>
        <w:t xml:space="preserve">Student umie wyjaśnić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1150-MT000-ISP-0104_W2: </w:t>
      </w:r>
    </w:p>
    <w:p>
      <w:pPr/>
      <w:r>
        <w:rPr/>
        <w:t xml:space="preserve">Student umie zdefiniować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1150-MT000-ISP-0104_W3: </w:t>
      </w:r>
    </w:p>
    <w:p>
      <w:pPr/>
      <w:r>
        <w:rPr/>
        <w:t xml:space="preserve">Student umie opisać główne grupy stali, żeliw, stopów aluminium, stopów miedzi, stopów specjalnych, podstawowe grupy polimerów, materiałów spiekanych, szkła i ceramiki oraz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1150-MT000-ISP-0104_W4: </w:t>
      </w:r>
    </w:p>
    <w:p>
      <w:pPr/>
      <w:r>
        <w:rPr/>
        <w:t xml:space="preserve">Student zna i rozumie istotę oraz zakres stosowania procesów: formowania, kształtowania oraz 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1150-MT000-ISP-0104_U1: </w:t>
      </w:r>
    </w:p>
    <w:p>
      <w:pPr/>
      <w:r>
        <w:rPr/>
        <w:t xml:space="preserve">Student potrafi dobrać skład chemiczny, technologię i właściwości materiałów przeznaczonych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2026-10-16T02:13:01+02:00</dcterms:created>
  <dcterms:modified xsi:type="dcterms:W3CDTF">2026-10-16T02:13:01+02:00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