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Electrochemistry</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1150-000000-ISA-0217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30h, including: a) lectures – 30h; b) consultations – 1h;
2. Student's own work – 25h, including: a) preparation for the lectures – reading recommended materials – 10h; b) preparation for the exam and exam itself – 15h.
Total student’s effort: 30h+1h+15h+10h=56h.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electrochemical knowledge for effective communication in the interdisciplinary engineering team;
- knowledge on materials used to build galvanic cells, their basic properties and methods to measure them;
- understanding of basic phenomena taking place inside the cells, their advantages and limitations;
- knowledge on corrosion - what risks it carries for metal constructions and cells, how it occurs and how to prevent it/protect against it;
- ability to predict potential risks for galvanic cell resulting from use of certain materials and way of their assembly;
- ability to formulate adequate cell parameters and operational requirements for the cell choice for the given application;
- awareness of the necessity and be able to cooperate and communicate with specialists from other fields for the sake of the parameters and requirements formulation for the cells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basics of electrochemistry for vehicle (or other electric appliances) components design and construction. The following phenomena, definitions, parameters and systems will be covered:
theoretical basics of the electrochemical phenomena; chemistry of the aqueous solutions; electrochemical series of metals; chemical potential vs electrochemical potential; half-cells; fundamentals of electrochemical cells operation; types of cells; cells' construction and necessary components; primary cells, secondary cells, batteries; electrodics; electrode types and parameters; electrodic processes kinetics; electrolytes; types of electrolytes; ionics; ions mobility; diffusion and convection; concentration gradient; molar conductivity and ionic conductivity; viscosity of the solutions; Walden's product; activity coefficients of ions; ionic dissociation and association phenomena; relative permittivity; solid electrolyte interface; ionic conductivity and electronic conductivity on the electrode-electrolyte boundary; passivation and corrosion; microcells; possible threats for cells; phenomena in real cells; chemical parameters of cells, cell components and means to measure them; stability and chemical compatibility of cell materials; measurements of electrochemical parameters of half-cells and electroactive materials; physical parameters of cell components' materials; thermal stability; phase transitions; electrolyte and electrode parameters relationship with full cell parameters; supercapacitors - structure and components, fundamentals of operation; electrostatics; corrosion and protection against it.
</w:t>
      </w:r>
    </w:p>
    <w:p>
      <w:pPr>
        <w:keepNext w:val="1"/>
        <w:spacing w:after="10"/>
      </w:pPr>
      <w:r>
        <w:rPr>
          <w:b/>
          <w:bCs/>
        </w:rPr>
        <w:t xml:space="preserve">Metody oceny: </w:t>
      </w:r>
    </w:p>
    <w:p>
      <w:pPr>
        <w:spacing w:before="20" w:after="190"/>
      </w:pPr>
      <w:r>
        <w:rPr/>
        <w:t xml:space="preserve">written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A.J. Bard, L.R. Faulkner, “Electrochemical Methods: Fundamentals and Applications, 2nd edition”, 2001, John Wiley and Sons</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1150-000000-ISA-0217_W1: </w:t>
      </w:r>
    </w:p>
    <w:p>
      <w:pPr/>
      <w:r>
        <w:rPr/>
        <w:t xml:space="preserve">Student can efficiently communicate in the multidisciplinary engineering team by using professional vocabulary for phenomena or material parameters description.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K_W15, K_W20</w:t>
      </w:r>
    </w:p>
    <w:p>
      <w:pPr>
        <w:spacing w:before="20" w:after="190"/>
      </w:pPr>
      <w:r>
        <w:rPr>
          <w:b/>
          <w:bCs/>
        </w:rPr>
        <w:t xml:space="preserve">Powiązane efekty obszarowe: </w:t>
      </w:r>
      <w:r>
        <w:rPr/>
        <w:t xml:space="preserve">T1A_W01, T1A_W07, T1A_W03, T1A_W04, T1A_W03, T1A_W07, T1A_W03, T1A_W04, T1A_W07, T1A_W06</w:t>
      </w:r>
    </w:p>
    <w:p>
      <w:pPr>
        <w:keepNext w:val="1"/>
        <w:spacing w:after="10"/>
      </w:pPr>
      <w:r>
        <w:rPr>
          <w:b/>
          <w:bCs/>
        </w:rPr>
        <w:t xml:space="preserve">Efekt 1150-000000-ISA-0217_W2: </w:t>
      </w:r>
    </w:p>
    <w:p>
      <w:pPr/>
      <w:r>
        <w:rPr/>
        <w:t xml:space="preserve">Student can characterize materials used in cells manufacturing, their basic parameters and methods to measure them; is able to explain basic phenomena taking place in cells and relationships between them.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K_W17</w:t>
      </w:r>
    </w:p>
    <w:p>
      <w:pPr>
        <w:spacing w:before="20" w:after="190"/>
      </w:pPr>
      <w:r>
        <w:rPr>
          <w:b/>
          <w:bCs/>
        </w:rPr>
        <w:t xml:space="preserve">Powiązane efekty obszarowe: </w:t>
      </w:r>
      <w:r>
        <w:rPr/>
        <w:t xml:space="preserve">T1A_W01, T1A_W07, T1A_W03, T1A_W04, T1A_W03, T1A_W04, T1A_W07</w:t>
      </w:r>
    </w:p>
    <w:p>
      <w:pPr>
        <w:keepNext w:val="1"/>
        <w:spacing w:after="10"/>
      </w:pPr>
      <w:r>
        <w:rPr>
          <w:b/>
          <w:bCs/>
        </w:rPr>
        <w:t xml:space="preserve">Efekt 1150-000000-ISA-0217_W3: </w:t>
      </w:r>
    </w:p>
    <w:p>
      <w:pPr/>
      <w:r>
        <w:rPr/>
        <w:t xml:space="preserve">Student can recognize corrosion hazards for metal constructions and cells; is able to explain corrosion initiation mechanism and select proper methods to counteract or protect given construction against it.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K_W20</w:t>
      </w:r>
    </w:p>
    <w:p>
      <w:pPr>
        <w:spacing w:before="20" w:after="190"/>
      </w:pPr>
      <w:r>
        <w:rPr>
          <w:b/>
          <w:bCs/>
        </w:rPr>
        <w:t xml:space="preserve">Powiązane efekty obszarowe: </w:t>
      </w:r>
      <w:r>
        <w:rPr/>
        <w:t xml:space="preserve">T1A_W01, T1A_W07, T1A_W03, T1A_W04, T1A_W03, T1A_W07, T1A_W06</w:t>
      </w:r>
    </w:p>
    <w:p>
      <w:pPr>
        <w:pStyle w:val="Heading3"/>
      </w:pPr>
      <w:bookmarkStart w:id="3" w:name="_Toc3"/>
      <w:r>
        <w:t>Profil ogólnoakademicki - umiejętności</w:t>
      </w:r>
      <w:bookmarkEnd w:id="3"/>
    </w:p>
    <w:p>
      <w:pPr>
        <w:keepNext w:val="1"/>
        <w:spacing w:after="10"/>
      </w:pPr>
      <w:r>
        <w:rPr>
          <w:b/>
          <w:bCs/>
        </w:rPr>
        <w:t xml:space="preserve">Efekt 1150-000000-ISA-0217_U1: </w:t>
      </w:r>
    </w:p>
    <w:p>
      <w:pPr/>
      <w:r>
        <w:rPr/>
        <w:t xml:space="preserve">Student is able to assess potential hazards for galvanic cell resulting from components choice as well as their combination and assembly way.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K_U12, K_U16, K_U22</w:t>
      </w:r>
    </w:p>
    <w:p>
      <w:pPr>
        <w:spacing w:before="20" w:after="190"/>
      </w:pPr>
      <w:r>
        <w:rPr>
          <w:b/>
          <w:bCs/>
        </w:rPr>
        <w:t xml:space="preserve">Powiązane efekty obszarowe: </w:t>
      </w:r>
      <w:r>
        <w:rPr/>
        <w:t xml:space="preserve">T1A_U07, T1A_U08, T1A_U12, T1A_U16, T1A_U10</w:t>
      </w:r>
    </w:p>
    <w:p>
      <w:pPr>
        <w:keepNext w:val="1"/>
        <w:spacing w:after="10"/>
      </w:pPr>
      <w:r>
        <w:rPr>
          <w:b/>
          <w:bCs/>
        </w:rPr>
        <w:t xml:space="preserve">Efekt 1150-000000-ISA-0217_U2: </w:t>
      </w:r>
    </w:p>
    <w:p>
      <w:pPr/>
      <w:r>
        <w:rPr/>
        <w:t xml:space="preserve">Student is able to estimate materials requirements and efficiency of basic electrochemical processes as well as cell parameters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K_U07, K_U09, K_U11, K_U14</w:t>
      </w:r>
    </w:p>
    <w:p>
      <w:pPr>
        <w:spacing w:before="20" w:after="190"/>
      </w:pPr>
      <w:r>
        <w:rPr>
          <w:b/>
          <w:bCs/>
        </w:rPr>
        <w:t xml:space="preserve">Powiązane efekty obszarowe: </w:t>
      </w:r>
      <w:r>
        <w:rPr/>
        <w:t xml:space="preserve">T1A_U08, T1A_U09, T1A_U09, T1A_U12, T1A_U08, T1A_U09, T1A_U14</w:t>
      </w:r>
    </w:p>
    <w:p>
      <w:pPr>
        <w:pStyle w:val="Heading3"/>
      </w:pPr>
      <w:bookmarkStart w:id="4" w:name="_Toc4"/>
      <w:r>
        <w:t>Profil ogólnoakademicki - kompetencje społeczne</w:t>
      </w:r>
      <w:bookmarkEnd w:id="4"/>
    </w:p>
    <w:p>
      <w:pPr>
        <w:keepNext w:val="1"/>
        <w:spacing w:after="10"/>
      </w:pPr>
      <w:r>
        <w:rPr>
          <w:b/>
          <w:bCs/>
        </w:rPr>
        <w:t xml:space="preserve">Efekt 1150-000000-ISA-0217_K1: </w:t>
      </w:r>
    </w:p>
    <w:p>
      <w:pPr/>
      <w:r>
        <w:rPr/>
        <w:t xml:space="preserve">Student is aware of the need for cooperation and efficient communication with other specialists in order to establish expected parameters and requirements for cells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2026-06-06T10:26:42+02:00</dcterms:created>
  <dcterms:modified xsi:type="dcterms:W3CDTF">2026-06-06T10:26:42+02:00</dcterms:modified>
</cp:coreProperties>
</file>

<file path=docProps/custom.xml><?xml version="1.0" encoding="utf-8"?>
<Properties xmlns="http://schemas.openxmlformats.org/officeDocument/2006/custom-properties" xmlns:vt="http://schemas.openxmlformats.org/officeDocument/2006/docPropsVTypes"/>
</file>