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Electric and Hybrid Vehicles Engineering</w:t>
      </w:r>
    </w:p>
    <w:p>
      <w:pPr>
        <w:keepNext w:val="1"/>
        <w:spacing w:after="10"/>
      </w:pPr>
      <w:r>
        <w:rPr>
          <w:b/>
          <w:bCs/>
        </w:rPr>
        <w:t xml:space="preserve">Koordynator przedmiotu: </w:t>
      </w:r>
    </w:p>
    <w:p>
      <w:pPr>
        <w:spacing w:before="20" w:after="190"/>
      </w:pPr>
      <w:r>
        <w:rPr/>
        <w:t xml:space="preserve">Yuhua Chang PhD, Liu Zhiyn PhD</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Electric and Hybrid Vehicles Engineering</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353</w:t>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Direct hours 45hs, including: 
a) attendance on the lectures - 30 hs; 
b) attendance on the laboratory - 15 hs; 
2. literature study - 10hs; 
3. Preparation for the exam - 10hs 
4. Preparation for the laboratory -15hs 
5. literature study for the laboratory -10hs ; 
6. Preparation of reports -15hs
Total student workload: 30hs + 15hs + 10hs + 10hs + 15hs+10hs+15hs = 105hs, which corresponds to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attendance on the lectures - 30hs
2. attendance on the laboratory - 15 hs; 
Total: 30hs + 15hs = 45hs, which corresponds to 2 (1.8) ECTS.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Passed exam of:
Energy Accumulation in Vehicles;
Electric Machines</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Lecture
•	Overview of structures and hybrid electric drives. Characteristics, advantages, disadvantages.
•	Components of multisource drives.
•	Control of multisource drives.
•	The design of electric and hybrid vehicles.
•	Design rules for electric and hybrid vehicles.
•	Determination of parameters of components of multisource drives.
•	Selection of drive structure to the requirements of the vehicle.
•	Primary and secondary power sources - an overview of the technology.
•	Electrochemical batteries - different technologies, acid, gel, NiCd, NiMH, LiIon, bipolar, characteristics, emf, internal resistance, charging characteristics, SOC, SOH, load and battery life, active and passive systems for load leveling, charging systems and battery replacement in vehicles.
•	Monitoring and measurement data acquisition - terminology, systems architecture, the types of signals and transducers.
Laboratory 
•	Electric drive with asynchronous motor controlled by pulse frequency inverter.
•	The drive system with low-speed PM motor.
•	Drive using a three-phase induction motor controlled inverter.
•	The study of hydrogen PEM fuel cell.
•	Determination of the electrical parameters of ultracapacitors.
•	Tests and measurements of the vehicle braking energy (recuperation of energy).
</w:t>
      </w:r>
    </w:p>
    <w:p>
      <w:pPr>
        <w:keepNext w:val="1"/>
        <w:spacing w:after="10"/>
      </w:pPr>
      <w:r>
        <w:rPr>
          <w:b/>
          <w:bCs/>
        </w:rPr>
        <w:t xml:space="preserve">Metody oceny: </w:t>
      </w:r>
    </w:p>
    <w:p>
      <w:pPr>
        <w:spacing w:before="20" w:after="190"/>
      </w:pPr>
      <w:r>
        <w:rPr/>
        <w:t xml:space="preserve">2 tests, written and oral exam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„Projektowanie Dyferencjałów elektromechanicznych elektrycznych pojazdów drogowych” A. Szumanowski, ISBN 978-83-7204-617-8 
„Modern Electric, Hybrid Electric, and Fuel Cell Vehicles Fundamentals, Theory, and Design”; M Ehsani , Y Gao , S E . Gay , A Emadi; Print ISBN: 978-0-8493-3154-1; eBook ISBN: 978-1-4200-3773-9 
“Handbook of Automotive Power Electronics and Motor Drives”; Edited by A. Emadi; Print ISBN: 978-0-8247-2361-3; eBook ISBN: 978-1-4200-2815-7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1150-PE000-ISP-0318_W1: </w:t>
      </w:r>
    </w:p>
    <w:p>
      <w:pPr/>
      <w:r>
        <w:rPr/>
        <w:t xml:space="preserve"> Having knowledge about the design of electric and hybrid vehicles, Having the ability to select the powertrain structure and components, having the knowlege of the development trends in the design of electric and hybrid powertrain systems. </w:t>
      </w:r>
    </w:p>
    <w:p>
      <w:pPr>
        <w:spacing w:before="60"/>
      </w:pPr>
      <w:r>
        <w:rPr/>
        <w:t xml:space="preserve">Weryfikacja: </w:t>
      </w:r>
    </w:p>
    <w:p>
      <w:pPr>
        <w:spacing w:before="20" w:after="190"/>
      </w:pPr>
      <w:r>
        <w:rPr/>
        <w:t xml:space="preserve">Exam</w:t>
      </w:r>
    </w:p>
    <w:p>
      <w:pPr>
        <w:spacing w:before="20" w:after="190"/>
      </w:pPr>
      <w:r>
        <w:rPr>
          <w:b/>
          <w:bCs/>
        </w:rPr>
        <w:t xml:space="preserve">Powiązane efekty kierunkowe: </w:t>
      </w:r>
      <w:r>
        <w:rPr/>
        <w:t xml:space="preserve">K_W05, K_W11, K_W12, K_W17, K_W18, K_W19</w:t>
      </w:r>
    </w:p>
    <w:p>
      <w:pPr>
        <w:spacing w:before="20" w:after="190"/>
      </w:pPr>
      <w:r>
        <w:rPr>
          <w:b/>
          <w:bCs/>
        </w:rPr>
        <w:t xml:space="preserve">Powiązane efekty obszarowe: </w:t>
      </w:r>
      <w:r>
        <w:rPr/>
        <w:t xml:space="preserve">T1A_W03, T1A_W07, T1A_W02, T1A_W03, T1A_W03, T1A_W03, T1A_W04, T1A_W07, T1A_W03, T1A_W04, T1A_W07, T1A_W05</w:t>
      </w:r>
    </w:p>
    <w:p>
      <w:pPr>
        <w:keepNext w:val="1"/>
        <w:spacing w:after="10"/>
      </w:pPr>
      <w:r>
        <w:rPr>
          <w:b/>
          <w:bCs/>
        </w:rPr>
        <w:t xml:space="preserve">Efekt 1150-PE000-ISP-0318_W2: </w:t>
      </w:r>
    </w:p>
    <w:p>
      <w:pPr/>
      <w:r>
        <w:rPr/>
        <w:t xml:space="preserve"> Having the knowledge about how to control multi-source drive components </w:t>
      </w:r>
    </w:p>
    <w:p>
      <w:pPr>
        <w:spacing w:before="60"/>
      </w:pPr>
      <w:r>
        <w:rPr/>
        <w:t xml:space="preserve">Weryfikacja: </w:t>
      </w:r>
    </w:p>
    <w:p>
      <w:pPr>
        <w:spacing w:before="20" w:after="190"/>
      </w:pPr>
      <w:r>
        <w:rPr/>
        <w:t xml:space="preserve">Exam</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T1A_W03</w:t>
      </w:r>
    </w:p>
    <w:p>
      <w:pPr>
        <w:keepNext w:val="1"/>
        <w:spacing w:after="10"/>
      </w:pPr>
      <w:r>
        <w:rPr>
          <w:b/>
          <w:bCs/>
        </w:rPr>
        <w:t xml:space="preserve">Efekt 1150-PE000-ISP-0318_W3: </w:t>
      </w:r>
    </w:p>
    <w:p>
      <w:pPr/>
      <w:r>
        <w:rPr/>
        <w:t xml:space="preserve"> Having the knowledge about secondary energy sources in hybrid electric vehicles, their typical parameters and their proper application in hybrid powertrain system  </w:t>
      </w:r>
    </w:p>
    <w:p>
      <w:pPr>
        <w:spacing w:before="60"/>
      </w:pPr>
      <w:r>
        <w:rPr/>
        <w:t xml:space="preserve">Weryfikacja: </w:t>
      </w:r>
    </w:p>
    <w:p>
      <w:pPr>
        <w:spacing w:before="20" w:after="190"/>
      </w:pPr>
      <w:r>
        <w:rPr/>
        <w:t xml:space="preserve">Exam</w:t>
      </w:r>
    </w:p>
    <w:p>
      <w:pPr>
        <w:spacing w:before="20" w:after="190"/>
      </w:pPr>
      <w:r>
        <w:rPr>
          <w:b/>
          <w:bCs/>
        </w:rPr>
        <w:t xml:space="preserve">Powiązane efekty kierunkowe: </w:t>
      </w:r>
      <w:r>
        <w:rPr/>
        <w:t xml:space="preserve">K_W02, K_W08, K_W15</w:t>
      </w:r>
    </w:p>
    <w:p>
      <w:pPr>
        <w:spacing w:before="20" w:after="190"/>
      </w:pPr>
      <w:r>
        <w:rPr>
          <w:b/>
          <w:bCs/>
        </w:rPr>
        <w:t xml:space="preserve">Powiązane efekty obszarowe: </w:t>
      </w:r>
      <w:r>
        <w:rPr/>
        <w:t xml:space="preserve">T1A_W03, T1A_W04, T1A_W02, T1A_W04, T1A_W07, T1A_W03, T1A_W04, T1A_W07</w:t>
      </w:r>
    </w:p>
    <w:p>
      <w:pPr>
        <w:pStyle w:val="Heading3"/>
      </w:pPr>
      <w:bookmarkStart w:id="3" w:name="_Toc3"/>
      <w:r>
        <w:t>Profil ogólnoakademicki - umiejętności</w:t>
      </w:r>
      <w:bookmarkEnd w:id="3"/>
    </w:p>
    <w:p>
      <w:pPr>
        <w:keepNext w:val="1"/>
        <w:spacing w:after="10"/>
      </w:pPr>
      <w:r>
        <w:rPr>
          <w:b/>
          <w:bCs/>
        </w:rPr>
        <w:t xml:space="preserve">Efekt 1150-PE000-ISP-0318_U1: </w:t>
      </w:r>
    </w:p>
    <w:p>
      <w:pPr/>
      <w:r>
        <w:rPr/>
        <w:t xml:space="preserve">Having the ability to analyze the design task in selecting the most appropriate structure for propulsion system. </w:t>
      </w:r>
    </w:p>
    <w:p>
      <w:pPr>
        <w:spacing w:before="60"/>
      </w:pPr>
      <w:r>
        <w:rPr/>
        <w:t xml:space="preserve">Weryfikacja: </w:t>
      </w:r>
    </w:p>
    <w:p>
      <w:pPr>
        <w:spacing w:before="20" w:after="190"/>
      </w:pPr>
      <w:r>
        <w:rPr/>
        <w:t xml:space="preserve">Exam</w:t>
      </w:r>
    </w:p>
    <w:p>
      <w:pPr>
        <w:spacing w:before="20" w:after="190"/>
      </w:pPr>
      <w:r>
        <w:rPr>
          <w:b/>
          <w:bCs/>
        </w:rPr>
        <w:t xml:space="preserve">Powiązane efekty kierunkowe: </w:t>
      </w:r>
      <w:r>
        <w:rPr/>
        <w:t xml:space="preserve">K_U12, K_U16</w:t>
      </w:r>
    </w:p>
    <w:p>
      <w:pPr>
        <w:spacing w:before="20" w:after="190"/>
      </w:pPr>
      <w:r>
        <w:rPr>
          <w:b/>
          <w:bCs/>
        </w:rPr>
        <w:t xml:space="preserve">Powiązane efekty obszarowe: </w:t>
      </w:r>
      <w:r>
        <w:rPr/>
        <w:t xml:space="preserve">T1A_U07, T1A_U08, T1A_U12, T1A_U16</w:t>
      </w:r>
    </w:p>
    <w:p>
      <w:pPr>
        <w:keepNext w:val="1"/>
        <w:spacing w:after="10"/>
      </w:pPr>
      <w:r>
        <w:rPr>
          <w:b/>
          <w:bCs/>
        </w:rPr>
        <w:t xml:space="preserve">Efekt 1150-PE000-ISP-0318_U2: </w:t>
      </w:r>
    </w:p>
    <w:p>
      <w:pPr/>
      <w:r>
        <w:rPr/>
        <w:t xml:space="preserve">Having the ability to design and select proper parameters of components for a drive system required for considered vehicle. </w:t>
      </w:r>
    </w:p>
    <w:p>
      <w:pPr>
        <w:spacing w:before="60"/>
      </w:pPr>
      <w:r>
        <w:rPr/>
        <w:t xml:space="preserve">Weryfikacja: </w:t>
      </w:r>
    </w:p>
    <w:p>
      <w:pPr>
        <w:spacing w:before="20" w:after="190"/>
      </w:pPr>
      <w:r>
        <w:rPr/>
        <w:t xml:space="preserve">Examination report from lab</w:t>
      </w:r>
    </w:p>
    <w:p>
      <w:pPr>
        <w:spacing w:before="20" w:after="190"/>
      </w:pPr>
      <w:r>
        <w:rPr>
          <w:b/>
          <w:bCs/>
        </w:rPr>
        <w:t xml:space="preserve">Powiązane efekty kierunkowe: </w:t>
      </w:r>
      <w:r>
        <w:rPr/>
        <w:t xml:space="preserve">K_U07, K_U10</w:t>
      </w:r>
    </w:p>
    <w:p>
      <w:pPr>
        <w:spacing w:before="20" w:after="190"/>
      </w:pPr>
      <w:r>
        <w:rPr>
          <w:b/>
          <w:bCs/>
        </w:rPr>
        <w:t xml:space="preserve">Powiązane efekty obszarowe: </w:t>
      </w:r>
      <w:r>
        <w:rPr/>
        <w:t xml:space="preserve">T1A_U08, T1A_U09, T1A_U07, T1A_U08, T1A_U09</w:t>
      </w:r>
    </w:p>
    <w:p>
      <w:pPr>
        <w:keepNext w:val="1"/>
        <w:spacing w:after="10"/>
      </w:pPr>
      <w:r>
        <w:rPr>
          <w:b/>
          <w:bCs/>
        </w:rPr>
        <w:t xml:space="preserve">Efekt 1150-PE000-ISP-0318_U3: </w:t>
      </w:r>
    </w:p>
    <w:p>
      <w:pPr/>
      <w:r>
        <w:rPr/>
        <w:t xml:space="preserve"> Having the ability to analyze the requirements for evaluating the criteria of design solutions  </w:t>
      </w:r>
    </w:p>
    <w:p>
      <w:pPr>
        <w:spacing w:before="60"/>
      </w:pPr>
      <w:r>
        <w:rPr/>
        <w:t xml:space="preserve">Weryfikacja: </w:t>
      </w:r>
    </w:p>
    <w:p>
      <w:pPr>
        <w:spacing w:before="20" w:after="190"/>
      </w:pPr>
      <w:r>
        <w:rPr/>
        <w:t xml:space="preserve">Examination report from the lab</w:t>
      </w:r>
    </w:p>
    <w:p>
      <w:pPr>
        <w:spacing w:before="20" w:after="190"/>
      </w:pPr>
      <w:r>
        <w:rPr>
          <w:b/>
          <w:bCs/>
        </w:rPr>
        <w:t xml:space="preserve">Powiązane efekty kierunkowe: </w:t>
      </w:r>
      <w:r>
        <w:rPr/>
        <w:t xml:space="preserve">K_U09, K_U10, K_U16, K_U24</w:t>
      </w:r>
    </w:p>
    <w:p>
      <w:pPr>
        <w:spacing w:before="20" w:after="190"/>
      </w:pPr>
      <w:r>
        <w:rPr>
          <w:b/>
          <w:bCs/>
        </w:rPr>
        <w:t xml:space="preserve">Powiązane efekty obszarowe: </w:t>
      </w:r>
      <w:r>
        <w:rPr/>
        <w:t xml:space="preserve">T1A_U09, T1A_U12, T1A_U07, T1A_U08, T1A_U09, T1A_U12, T1A_U16, T1A_U15</w:t>
      </w:r>
    </w:p>
    <w:p>
      <w:pPr>
        <w:keepNext w:val="1"/>
        <w:spacing w:after="10"/>
      </w:pPr>
      <w:r>
        <w:rPr>
          <w:b/>
          <w:bCs/>
        </w:rPr>
        <w:t xml:space="preserve">Efekt 1150-PE000-ISP-0318_U4: </w:t>
      </w:r>
    </w:p>
    <w:p>
      <w:pPr/>
      <w:r>
        <w:rPr/>
        <w:t xml:space="preserve"> Having the ability to define the characteristics of the electric machine necessary for analyzing the design criterion. </w:t>
      </w:r>
    </w:p>
    <w:p>
      <w:pPr>
        <w:spacing w:before="60"/>
      </w:pPr>
      <w:r>
        <w:rPr/>
        <w:t xml:space="preserve">Weryfikacja: </w:t>
      </w:r>
    </w:p>
    <w:p>
      <w:pPr>
        <w:spacing w:before="20" w:after="190"/>
      </w:pPr>
      <w:r>
        <w:rPr/>
        <w:t xml:space="preserve">Examination report from the lab</w:t>
      </w:r>
    </w:p>
    <w:p>
      <w:pPr>
        <w:spacing w:before="20" w:after="190"/>
      </w:pPr>
      <w:r>
        <w:rPr>
          <w:b/>
          <w:bCs/>
        </w:rPr>
        <w:t xml:space="preserve">Powiązane efekty kierunkowe: </w:t>
      </w:r>
      <w:r>
        <w:rPr/>
        <w:t xml:space="preserve">K_U11, K_U12</w:t>
      </w:r>
    </w:p>
    <w:p>
      <w:pPr>
        <w:spacing w:before="20" w:after="190"/>
      </w:pPr>
      <w:r>
        <w:rPr>
          <w:b/>
          <w:bCs/>
        </w:rPr>
        <w:t xml:space="preserve">Powiązane efekty obszarowe: </w:t>
      </w:r>
      <w:r>
        <w:rPr/>
        <w:t xml:space="preserve">T1A_U08, T1A_U09, T1A_U07, T1A_U08</w:t>
      </w:r>
    </w:p>
    <w:p>
      <w:pPr>
        <w:pStyle w:val="Heading3"/>
      </w:pPr>
      <w:bookmarkStart w:id="4" w:name="_Toc4"/>
      <w:r>
        <w:t>Profil ogólnoakademicki - kompetencje społeczne</w:t>
      </w:r>
      <w:bookmarkEnd w:id="4"/>
    </w:p>
    <w:p>
      <w:pPr>
        <w:keepNext w:val="1"/>
        <w:spacing w:after="10"/>
      </w:pPr>
      <w:r>
        <w:rPr>
          <w:b/>
          <w:bCs/>
        </w:rPr>
        <w:t xml:space="preserve">Efekt 1150-PE000-ISP-0318_K1: </w:t>
      </w:r>
    </w:p>
    <w:p>
      <w:pPr/>
      <w:r>
        <w:rPr/>
        <w:t xml:space="preserve"> Having the ability to work individually and/or in a team. </w:t>
      </w:r>
    </w:p>
    <w:p>
      <w:pPr>
        <w:spacing w:before="60"/>
      </w:pPr>
      <w:r>
        <w:rPr/>
        <w:t xml:space="preserve">Weryfikacja: </w:t>
      </w:r>
    </w:p>
    <w:p>
      <w:pPr>
        <w:spacing w:before="20" w:after="190"/>
      </w:pPr>
      <w:r>
        <w:rPr/>
        <w:t xml:space="preserve">-</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2026-08-02T20:03:54+02:00</dcterms:created>
  <dcterms:modified xsi:type="dcterms:W3CDTF">2026-08-02T20:03:54+02:00</dcterms:modified>
</cp:coreProperties>
</file>

<file path=docProps/custom.xml><?xml version="1.0" encoding="utf-8"?>
<Properties xmlns="http://schemas.openxmlformats.org/officeDocument/2006/custom-properties" xmlns:vt="http://schemas.openxmlformats.org/officeDocument/2006/docPropsVTypes"/>
</file>