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przejściową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1150-00000-MSP-0521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75 godz projektu.
2) Praca własna studenta – 35 godz., w tym:
a) studia literaturowe: 10 godz.
b) praca nad przygotowaniem projektu: 25 godz.
3) RAZEM – 110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– liczba godzin kontaktowych -  75 godz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- 110 godzin pracy studenta, w tym: 
a) udział w ćwiczeniach projektowych - 75 godz.;
b) praca nad przygotowaniem projektu – 25 godz.
c) studia literaturowe: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przejściowej.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przejściowej określonym w porozumieniu z promotorem pracy. Tematyka pracy przejściowej powinna być powiązana z realizowanym kierunkiem studiów. Powinna ona dotyczyć zagadnień ogólno-inżynierskich i stwarzać możliwości wykorzystania dotychczas zdobytej wiedzy technicznej.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wykonanej pracy przejściowej.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przejściowej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1150-00000-MSP-0521_W1: </w:t>
      </w:r>
    </w:p>
    <w:p>
      <w:pPr/>
      <w:r>
        <w:rPr/>
        <w:t xml:space="preserve">Posiada wiedzę jak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1150-00000-MSP-0521_U1: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KMiBM2_U01, KMiBM2_U03, KMiBM2_U05, KMiBM2_U08, KMiBM2_U12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1150-00000-MSP-0521_U2: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1150-00000-MSP-0521_U3: </w:t>
      </w:r>
    </w:p>
    <w:p>
      <w:pPr/>
      <w:r>
        <w:rPr/>
        <w:t xml:space="preserve">Potrafi pozyskiwać dane z literatury i baz danych; potrafi ocenić działanie zasad i praw dotyczących ochrony własności intelektualnej oraz potrafi przygotować przejrzyste pisemne opracowanie i lub prezentację, rozważając wady i zalety różnych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KMiBM2_U14, KMiBM2_U15, KMiBM_U17, KMiBM2_U18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1150-00000-MSP-0521_K1: </w:t>
      </w:r>
    </w:p>
    <w:p>
      <w:pPr/>
      <w:r>
        <w:rPr/>
        <w:t xml:space="preserve">Ma świadomość roli absolwenta uczelni technicznej w przekazywaniu szerszemu gremium osiągnięć mechatroniki pojazdów i maszyn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2026-10-15T18:13:23+02:00</dcterms:created>
  <dcterms:modified xsi:type="dcterms:W3CDTF">2026-10-15T18:13:23+02:00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