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przejściową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75 godz projektu.
2) Praca własna studenta – 35 godz., w tym:
a) studia literaturowe: 10 godz.
b) praca nad przygotowaniem projektu: 25 godz.
3) RAZEM – 110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– liczba godzin kontaktowych -  75 godz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- 110 godzin pracy studenta, w tym: 
a) udział w ćwiczeniach projektowych - 75 godz.;
b) praca nad przygotowaniem projektu – 25 godz.
c) studia literaturowe: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wykonanej pracy przejściowej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1150-00000-MSP-0521_W1: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1150-00000-MSP-0521_U1: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KMchtr2_U01, KMchtr2_U03, KMchtr2_U05, KMchtr2_U08, KMchtr2_U11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1150-00000-MSP-0521_U2: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1150-00000-MSP-0521_U3: </w:t>
      </w:r>
    </w:p>
    <w:p>
      <w:pPr/>
      <w:r>
        <w:rPr/>
        <w:t xml:space="preserve">Potrafi pozyskiwać dane z literatury i baz danych; potrafi ocenić działanie zasad i praw dotyczących ochrony własności intelektualnej oraz 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KMchtr2_U14, KMchtr2_U15, KMchtr2_U17, KMchtr2_U18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1150-00000-MSP-0521_K1: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2026-10-14T00:46:44+02:00</dcterms:created>
  <dcterms:modified xsi:type="dcterms:W3CDTF">2026-10-14T00:46:44+02:00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