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laboratorium.
2) Praca własna studenta – 34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–16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16 godz.
b) 34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KMiBM_W04, KMiBM_W10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KMiBM_W12,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KMiBM_W10, 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charakterystyki kierunkowe: </w:t>
      </w:r>
      <w:r>
        <w:rPr/>
        <w:t xml:space="preserve">KMiBM_U02, KMiBM_U11,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KMiBM_U02, KMiBM_U03,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charakterystyki kierunkowe: </w:t>
      </w:r>
      <w:r>
        <w:rPr/>
        <w:t xml:space="preserve">KMiBM_U11,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2026-10-13T16:33:37+02:00</dcterms:created>
  <dcterms:modified xsi:type="dcterms:W3CDTF">2026-10-13T16:33:37+02:00</dcterms:modified>
</cp:coreProperties>
</file>

<file path=docProps/custom.xml><?xml version="1.0" encoding="utf-8"?>
<Properties xmlns="http://schemas.openxmlformats.org/officeDocument/2006/custom-properties" xmlns:vt="http://schemas.openxmlformats.org/officeDocument/2006/docPropsVTypes"/>
</file>