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1150-MB000-IZP-330</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- 25.,  w tym: 
a) wykład -8 godz.;
b) laboratorium- 8 godz.;
c) konsultacje - 9 godz.
2. Praca własna studenta – 25 godzin, w tym:
a)	 20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- 7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20 godz. – przygotowywanie się do ćwiczeń laboratoryjnych
b) laboratorium - 8 godz.;
c) konsultacje - 7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30 (liczba licencji oprogramowania CAD, CAM, CAE)</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charakterystyki kierunkowe: </w:t>
      </w:r>
      <w:r>
        <w:rPr/>
        <w:t xml:space="preserve">KMiBM_U01, KMiBM_U13, KMiBM_U16, KMiBM_U19, KMiBM_U21, KMiBM_U24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2026-10-14T06:42:00+02:00</dcterms:created>
  <dcterms:modified xsi:type="dcterms:W3CDTF">2026-10-14T06:42:00+02:00</dcterms:modified>
</cp:coreProperties>
</file>

<file path=docProps/custom.xml><?xml version="1.0" encoding="utf-8"?>
<Properties xmlns="http://schemas.openxmlformats.org/officeDocument/2006/custom-properties" xmlns:vt="http://schemas.openxmlformats.org/officeDocument/2006/docPropsVTypes"/>
</file>