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numeryczne nadwozi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- 19 godz.
a) wykład - 16 godz.;
b) konsultacje - 3 godz.;
2) Praca własna studenta - 29 godz. w tym:
a) 10 godz. – bieżące przygotowywanie się do  zajęć (zbieranie i opracowywanie danych do przykładów analizowanych na wykładzie),
b) 7 godz. - studia literaturowe, 
c) 12 godz. – realizacja zadań domowych. 
3) RAZEM – 58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punkta ECTS – liczba godzin kontaktowych - 19 godz.,  w tym:
a) wykład - 16 godz.;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punkta ECTS – 29 godz. pracy studenta, w tym:
a) 10 godz. – bieżące przygotowywanie się do  zajęć (zbieranie i opracowywanie danych do przykładów analizowanych na wykładzie),
b) 7 godz. - studia literaturowe,
c) 12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budowy i zasad projektowania konstrukcji pojazdów,  znajomość mechaniki i wytrzymałości materiałów, ogólna znajomość systemów komputerowych wspomagających projektowanie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modelowania numerycznego konstrukcji nadwozi pojazdów i ich elementów. Prezentacja zasad i sposobów tworzenia modeli elementów nadwozia pojazdu, prowadzenia obliczeń i symulacji numerycznych oraz analiza przykładów  modelowania różnych konstrukcji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Metody modelowania układów mechanicznych w zadaniach statyki, stateczności i dynamiki. Metoda elementów skończonych: specyfika modeli prętowych, powierzchniowych i bryłowych, analiza liniowa i nieliniowa, obliczenia statyczne i dynamiczne.  Aspekty praktyczne numerycznego modelowania problemów mechaniki. Rozwiązywanie zagadnień statyki, dynamiki i stateczności za pomocą programu MES - analiza przykładów obliczeniowych związanych z pojazdami i nadwoziami. Wprowadzenie do optymalnego projektowania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sprawozdań z przykładów modelowania wykonywanych na zajęciach oraz oceny indywidualnych zadań domowych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Zieliński, Konstrukcja nadwozi samochodów osobowych i pochodnych, WKŁ, 2008. 
2. E. Rusiński, Zasady projektowania konstrukcji nośnych pojazdów samochodowych, Oficyna Wydawnicza Politechniki Wrocławskiej, Wrocław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1150-MBNPO-IZP-0406_W1: </w:t>
      </w:r>
    </w:p>
    <w:p>
      <w:pPr/>
      <w:r>
        <w:rPr/>
        <w:t xml:space="preserve">Ma podbudowaną teoretycznie wiedzę dotyczącą modelowania numerycznego konstrukcji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1150-MBNPO-IZP-0406_W2: </w:t>
      </w:r>
    </w:p>
    <w:p>
      <w:pPr/>
      <w:r>
        <w:rPr/>
        <w:t xml:space="preserve">Orientuje się we współczesnych metodach modelowania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1150-MBNPO-IZP-0406_W3: </w:t>
      </w:r>
    </w:p>
    <w:p>
      <w:pPr/>
      <w:r>
        <w:rPr/>
        <w:t xml:space="preserve">Zna podstawowe etapy i techniki tworzenia modelu numerycznego oraz potrafi zdefiniować dane do symulacji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1150-MBNPO-IZP-0406_U1: </w:t>
      </w:r>
    </w:p>
    <w:p>
      <w:pPr/>
      <w:r>
        <w:rPr/>
        <w:t xml:space="preserve">osługując się programem MES potrafi przeprowadzić symulacje komputerowe zachowania prostego elementu nadwozia, zinterpretować otrzymane wyniki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przykładach obliczeniowych i sformułowanie poprawnych wniosków.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1150-MBNPO-IZP-0406_U2: </w:t>
      </w:r>
    </w:p>
    <w:p>
      <w:pPr/>
      <w:r>
        <w:rPr/>
        <w:t xml:space="preserve">Potrafi przeprowadzić obliczenia wytrzymałościowe MES umożliwiające zwymiarowanie prostego elementu konstrukcji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przykładach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1150-MBNPO-IZP-0406_U3: </w:t>
      </w:r>
    </w:p>
    <w:p>
      <w:pPr/>
      <w:r>
        <w:rPr/>
        <w:t xml:space="preserve">Potrafi dobrać rodzaj elementu i prawidłowe parametry podstawowych analiz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obliczeniach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1150-MBNPO-IZP-0406_K1: </w:t>
      </w:r>
    </w:p>
    <w:p>
      <w:pPr/>
      <w:r>
        <w:rPr/>
        <w:t xml:space="preserve">Ma świadomość wagi i dokładności obliczeń inżynierskich, konieczności weryfikacji wyniku symulacji, wpływu tych czynników na bezpieczeństwo projektowanego obiektu i związanej z tym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2025-12-23T05:49:38+01:00</dcterms:created>
  <dcterms:modified xsi:type="dcterms:W3CDTF">2025-12-23T05:49:38+01:00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