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– 16 godz.;
b) konsultacje – 2 godz.
2) Praca własna studenta – 58 godz., w tym:
a) 18 godz. – studia literaturowe;
b) 30 godz. – bieżące przygotowywanie się do wykładów;
c) 10 godz. – przygotowywanie prezentacji na zaliczenie.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realizacji przedmiotu powinien mieć wiedzę dotyczącą podstawowych wiadomości z zakresu fizyki i chemii z pierwszego roku studiów oraz ze szkoły średniej a także znać budowę i zasadę działania silników spalinowych uzyskaną w ramach przedmiotów podstawowych i specjalizowanych.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układów zasilania stosowanych w silnikach spalinowych. Umiejętność rozwiązywania problemów technicznych, związanych z projektowaniem, symulacją pracy, eksploatacją i rozwojem konstrukcji układów zasilania pod kątem poprawy osiągów i ograniczenia emisji składników toksycznych spalin i natężenia hałasu. Przyswojenie wiedzy o możliwościach stosowania różnego rodzaju paliw alternatywnych i odnawialnych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