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Wąsiewski,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wykład – 16 godz.;
b) konsultacje – 1 godz.
2) Praca własna studenta -  34 godzin, w tym:
a)	 9 godz. – bieżące przygotowywanie się studenta do wykładu;
b)	 10 godz. – studia literaturowe;
c)	 15 godz. – wykonanie pracy domowej ‒ projekt obliczeniowy.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- 17, w tym:
a) wykład – 16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 – wykonanie pracy domowej (projekt obliczeniowy).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 Aktywne mechanizmy różnicowe.
8. Tendencje rozwojowe współczesnych układów napędowych i kierunki rozwoju. Automatyzacja i sposoby jej realizacji. Przykłady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kolokwium i pracy domowej ‒ projektu obliczeniowego.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Förster H.J.: Automatische Fahrzeuggetriebe. Berlin: Springer–Verlag 1990.
2.	Haibach E.: Betriebsfestigkeit, VDI-Verlag GmbH, Düsseldorf 1989.
3.	Jaśkiewicz Z., Wąsiewski A.: Przekładnie walcowe. T 2, WKŁ, Warszawa 1995.
4.	Jaśkiewicz Z., Wąsiewski A.: Układy napędowe Pojazdów samochodowych. Obliczenia projektowe. WKŁ, Oficyna Wydawnicza Politechniki Warszawskiej, Warszawa 2002.
5.	Kocańda S., Szala J.: Podstawy obliczeń zmęczeniowych. PWN, Warszawa 1997.
6.	Lechner G., Naunheimer H.: Fahrzeuggetriebe. Berlin: Springer-Verlag 1994.
7.	Looman J.: Zahnradgetriebe. Grundlagen, Konstruktionen, Anwendung in Fahrzeugen. 3 Auflage. Berlin: Springer-Verlag 1996.
8.	Micknass W., Popiol R., Sprenger A.: Sprzęgła, skrzynki biegów, wały napędowe i półosie napędowe. Warszawa: WKŁ 2005.
9.	Podstawy konstrukcji maszyn. T 1, pod red. M. Dietricha. PWN, Warszawa 1986.
10.	Poradnik Inżyniera Samochodowego, pod red. Z. Jaśkiewicza, WKŁ,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1150-MB000-MZP-0145_W1: </w:t>
      </w:r>
    </w:p>
    <w:p>
      <w:pPr/>
      <w:r>
        <w:rPr/>
        <w:t xml:space="preserve">Posiada wiedzę o kryteriach projektowania układów napędowych pojazdów,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KMiBM2_W04, KMiBM2_W10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1150-MB000-MZP-0145_W2: </w:t>
      </w:r>
    </w:p>
    <w:p>
      <w:pPr/>
      <w:r>
        <w:rPr/>
        <w:t xml:space="preserve">Zna podstawowe metody obliczeniowe i eksperymentalne, stosowane przy rozwiązywaniu zagadnień związanych z projektowaniem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1150-MB000-MZP-0145_W3: </w:t>
      </w:r>
    </w:p>
    <w:p>
      <w:pPr/>
      <w:r>
        <w:rPr/>
        <w:t xml:space="preserve">Zna zasady określania i wyznaczania obciążeń eksploatacyjnych i ich efektów, niezbędnych do projektowania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1150-MB000-MZP-0145_U1: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KMiBM2_U04, KMiBM2_U06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1150-MB000-MZP-0145_U2: </w:t>
      </w:r>
    </w:p>
    <w:p>
      <w:pPr/>
      <w:r>
        <w:rPr/>
        <w:t xml:space="preserve">Potrafi przeprowadzić analizy wymagane do udowodnienia rozważanych kryteriów projektowych układów napędowych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KMiBM2_U08, KMiBM2_U09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1150-MB000-MZP-0145_U3: </w:t>
      </w:r>
    </w:p>
    <w:p>
      <w:pPr/>
      <w:r>
        <w:rPr/>
        <w:t xml:space="preserve">Potrafi ocenić przydatność rutynowych metod i narzędzi służących do rozwiązania zadania inżynierskiego, charakterystycznego dla projektowania zespołów układu napędowego pojazdu,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1150-MB000-MZP-0145_U4: </w:t>
      </w:r>
    </w:p>
    <w:p>
      <w:pPr/>
      <w:r>
        <w:rPr/>
        <w:t xml:space="preserve">Potrafi do rozwiązywania zadań inżynierskich integrować wiedzę pochodzącą z różnych źródeł w tym z zakresu interdyscyplinarnych i wielodyscyplinowych procesów inżynierskich w budowie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 ‒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1150-MB000-MZP-0145_U5: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domowej-projektu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1150-MB000-MZP-0145_U6: </w:t>
      </w:r>
    </w:p>
    <w:p>
      <w:pPr/>
      <w:r>
        <w:rPr/>
        <w:t xml:space="preserve">Potrafi określić kierunki dalszego kształcenia się w celu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1150-MB000-MZP-0145_K1: </w:t>
      </w:r>
    </w:p>
    <w:p>
      <w:pPr/>
      <w:r>
        <w:rPr/>
        <w:t xml:space="preserve">Rozumie potrzebę formułowania i przekazywania społeczeństwu w sposób powszechnie zrozumiały informacji i opinii dotyczących osiągnięć w zakresie budowy maszyn i pojazdów i innych aspektów działalności inżyniera mechanika.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2026-03-24T19:19:07+01:00</dcterms:created>
  <dcterms:modified xsi:type="dcterms:W3CDTF">2026-03-24T19:19:07+01:00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