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
a) wykład -10 godz.;
b) ćwiczenia  - 10 godz.;
c) konsultacje - 2 godz.
 2) Praca własna studenta - 35 godzin, w tym:
a)	 20 godz. – bieżące przygotowywanie się studenta do wykładu i ćwiczeń;
b)	 15 godz. – wykonanie prac domowych.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
a) wykład -10 godz.;
b) ćwiczenia  - 10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modelowania zjawisk zachodzących w maszynach roboczych. Wykształcenie umiejętności budowania modeli zachodzących procesów. Wykorzystanie efektów modelowania w projektowaniu 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Cele i zasady modelowania.
3. Zasady opracowania modeli funkcjonalnych, matematycznych i komputerowych.
4. Metodyka analizy budowy  MR.
5. Przykłady budowania modeli funkcjonalnych i matematycznych typowych układów kinematycznych i dynamicznych koparki, ładowarki, spycharki, zgarniarki, suwnicy, dźwigu osobowego, żurawia wieżowego i teleskopowego, wózka widłowego, ciągnika rolniczego i wózka widłowego.
6. Wprowadzenie do modelowania komputerowego - Charakterystyka  metod numerycznych stosowanych w modelowaniu komputerowym.
7. Przykłady modelowania funkcjonalnego, matematycznego i komputerowego elementów i podzespołów MR.
8. Symulacja komputerowa działania elementów - badanie poprawnosci działania.
9. Modelowanie oddziaływania na środowisko pracy MR.
10. Zasady syntezy i integracji modeli komputerowych budowa modelu MR.
11. Budowa modelu MR.
Ćwiczenia:
1. Analiza budowy MR.
2. Opracowania modeli funkcjonalnych, matematycznych typowych układów kinematycznych i dynamicznych koparki, ładowarki, spycharki, zgarniarki, suwnicy, dźwigu osobowego, żurawia wieżowego i teleskopowego, wózka widłowego, ciągnika rolniczego i wózka widłowego.
3. Budowa modeli komputerowych układów MR – Symulacja. komputerowa działania elementów - badanie poprawności działania
4. Modelowanie oddziaływania na środowisko pracy MR.
5. Synteza i integracja modeli komputerowych budowa modelu MR.
6. Budowa i testowanie modelu MR.
7. Symulowanie pracy MR.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– budowy modelu komputerowego elementu maszyny.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1150-MT000-000-0536_W1: </w:t>
      </w:r>
    </w:p>
    <w:p>
      <w:pPr/>
      <w:r>
        <w:rPr/>
        <w:t xml:space="preserve">Ma wiedzę nt. budowy modelu matematycznego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KMchtr2_W08, KMchtr2_W11, KMchr2_W12, KMchtr2_W13, 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1150-MT000-000-0536_W2: </w:t>
      </w:r>
    </w:p>
    <w:p>
      <w:pPr/>
      <w:r>
        <w:rPr/>
        <w:t xml:space="preserve">Ma wiedzę nt. budowy mechatronicznych i elektronicznych układów sterowania 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KMchtr2_W08, KMchtr2_W11, KMchr2_W12, KMchtr2_W13, 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1150-MT000-000-0536_U1: </w:t>
      </w:r>
    </w:p>
    <w:p>
      <w:pPr/>
      <w:r>
        <w:rPr/>
        <w:t xml:space="preserve">Potrafi budować i weryfikować modle komputerowe podstawowych członów dynamicznych i typowych elementów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KMchtr2_U12, KMchtr2_U06, KMchtr2_U07, KMchtr2_U09, KMchtr2_U10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1150-MT000-000-0536_U2: </w:t>
      </w:r>
    </w:p>
    <w:p>
      <w:pPr/>
      <w:r>
        <w:rPr/>
        <w:t xml:space="preserve">Zna zasady budowania modeli funkcjonalnych, matematycznych i komputerowych maszyn roboczych. Potrafi wyciągć wnioski z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2026-05-08T17:09:02+02:00</dcterms:created>
  <dcterms:modified xsi:type="dcterms:W3CDTF">2026-05-08T17:09:02+02:00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