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funkcjonowania przedsiębiorstw w ich otoczeniu prawnym. 
W toku realizacji przedmiotu student zrozumiem w jaki sposób przedsiębiorstwa mogą funkcjonować w ramach różnych wariantów prawnych. Ponadto student będzie potrafił analizować wpływ dokonanych wybór prawnych na funkcjonowanie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1-4h: Encyklopedia prawa
5-8h: Kodeks spółek handlowych
9-12h: Kodeks cywilny
13-14h: Kodeks Pracy
15-16h: Podatek dochodowy
17-18h: Podatek od towarów i usług 
19-20h: Pozostałe podatki
21-24h: Ochrona własności intelektualnej
25-28h: Prawne aspekty aliansów i przejęć
29-30h: Podsumowanie materiału w kontekście wymagań egzaminu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
2.	Ocena sumatywna : ocena wystawiona w skali 2-5.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Nowak-Gruca, Aleksandra., and ODDK . Wydawca. Własność Intelektualna W Przedsiębiorstwie. Gdańsk: ODDK, 2018. Print.
2.	Kępiński, Jakub., Katarzyna. Klafkowska-Waśniowska, Monika Górska, Ra-fał Sikorski, and Wydawnictwo C.H. Beck. Konkurencja a Własność Intelektualna. Warszawa: Wydawnictwo C. H. Beck, 2011. Print. Zarys Prawa Własności Intelektualnej 2.
3.	Lewandowski, Jerzy. Encyklopedia prawa w zarysie. Warszawa : SGH - Oficyna Wydawnicza. 1995.
4.	Craig Paul P, EU administrative law, Oxford, 2018, ISBN : 9780198831648
5.	Dennis Patterson and Anna Södersten. A Companion to European Union Law and International Law, John Wiley &amp; Sons, Incorporated, 2016.
6.	Ustawa z dnia 23 kwietnia 1964 r. – Kodeks cywilny
7.	Ustawa z dnia 15 września 2000 r. — Kodeks spółek handlowych
8.	Ustawa z dnia 26 czerwca 1974 r. Kodeks pracy (Dz.U. z 1974 r. nr 24, poz. 141)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prawne różnych rodzajów działalności zawodowej w obszarze zarządzania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Z2_WK11, Z2_WK12: </w:t>
      </w:r>
    </w:p>
    <w:p>
      <w:pPr/>
      <w:r>
        <w:rPr/>
        <w:t xml:space="preserve">Absolwent zna i rozumie w pogłębionym stopniu zasady  funkcjonowania przedsiębiorstw w ich otoczeniu prawnym oraz zna pojęcia i zasady z zakresu ochrony własności intelektualnej i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prawa do komunikowania się z interesariuszami organizacji na tematy związane z obszarem zarządzania oraz technologii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i zgodnego z obowiązującymi normami prawnymi pełnienia ról zawodowych w obszarze zarządzania, uwzględnia w tym zachodzące zmiany w otoczeniu prawnym oraz stosuje i rozwija zasady etyki zawodowej.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2026-03-23T01:28:29+01:00</dcterms:created>
  <dcterms:modified xsi:type="dcterms:W3CDTF">2026-03-23T01:28:29+01:00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