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udział w warsztatach + 29h opracowanie projektu 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Lisiński M., 2011, Audyt wewnętrzny w doskonaleniu instytucji, Warszawa: PWE.
2.	Audit Risk Alert: General Accounting and Auditing Developments, 2017/18; AICPA; 2017; Newark: John Wiley &amp; Sons, Incorporated
Uzupełniająca:
1.	Frąckowiak W., 1998, Fuzje i przejęcia przedsiębiorstw,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Z2_WG4, Z2_WG6: </w:t>
      </w:r>
    </w:p>
    <w:p>
      <w:pPr/>
      <w:r>
        <w:rPr/>
        <w:t xml:space="preserve">Absolwent ma pogłębioną wiedzę z zakresu  audytu wielopłaszczyznowego funkcjonowania przedsiębiorstwa i metod jego wyceny na podstawie przeprowadzonych audytów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(m.in.: ekonomiczne, finansowe, prawne, społeczne, środowiskowe) w obszarze wieloaspektowego audytu przedsiębiorstwa, w tym zwłaszcza spółki kapitałowej funkcjonującej na globalizującym się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audytu przedsiębiorstwa do komunikowania się z interesariuszami organizacji na tematy związane z obszarem zarządzania oraz technologii w warunkach zrównoważonego rozwoju oraz gospodarki globalnej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ze specjalistami w dziedzinie audytu oraz z niespecjalistami;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proces uczenia się innych osób.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z zakresu audytu przedsiębiorstwa do formułowania i rozwiązywania złożonych i nietypowych problemów napotykanych w procesie zarządzania zespołem i organizacją w warunkach gospodarki cyfrowej i globalizacji rynku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audytu organizacji w nieprzewidywalnych warunkach dynamicznych zmian gospodarki globalnej przez diagnozę i kreację działań proefektywnościowych.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 audytu przedsiębiorstwa oraz obszaru metod badania efektywności przedsiębiorstwa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audytu przedsiębiorstwa oraz obszaru metod badania efektywności przedsiębiorstwa w warunkach zrównoważonego rozwoju oraz gospodarki globalnej w rozwiązywaniu problemów poznawczych i praktycznych oraz zasięgania opinii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opierając swoje działania na podejściu audytorskim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audytu, uwzględnia w tym zachodzące zmiany w otoczeniu przedsiębiorstwa oraz przyjęte zasady etyki zawodowej. Odznacza się gotowością do dzielenia się z innymi wiedzą i własnymi doświadczeniami w tym zakresie.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2026-08-08T01:40:22+02:00</dcterms:created>
  <dcterms:modified xsi:type="dcterms:W3CDTF">2026-08-08T01:40:22+02:00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