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20h wykład + 2h konsultacje+3h przygotowanie do zaliczenia=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Podatek PIT i CIT, 
2. Ewidencja sprzedaży, środków trwałych, wartości niematerialnych i prawnych oraz wyposażenia, podatku od towarów i usług, 
3. Ewidencja przychodów, 
4. Podatkowa księga przychodów i rozchodów.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udziału w pracy zbiorowej, jednostkowej i grupowej
2. Ocena sumatywna: sprawdzian pisemny; forma: problemy do rozwiązania;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Mućko P., Sokół A., 2015. Jak założyć i prowadzić własną firmę. Praktyczny poradnik z przykładami. Warszawa: CeDeWu
2.	Zawadzki A., 2017. Rachunkowość małych firm. Tom 1. Podręcz-nik. Warszawa: Difin 
3.	Zawadzki A., 2017. Rachunkowość małych firm. Tom 2. Zbiór zadań. Warszawa: Difin
Uzupełniająca:
1.	Styczyński P., 2018. Podatkowa księga przychodów i rozchodów – 2018. Praktyczne problemy prowadzenia. Wrocław: Oficyna Wydawnicza UNIMEX
2.	Szczypa P., 2021. Samozatrudnienie : uproszczone formy ewidencji : praca zbiorowa. Warszawa: CeDeWu
3.	Olchowicz I., Jamroży M., 2020. Rachunkowość podatkowa : analiza w zakresie podatku dochodowego od osób prawnych. Warszawa: Difin SA
4.	Bridge S., Hegarty C., 2013. Beyond the Business Plan. 10 Principles for New Venture Explorers.  London: Palgrave Macmillan UK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Z1_WK13: </w:t>
      </w:r>
    </w:p>
    <w:p>
      <w:pPr/>
      <w:r>
        <w:rPr/>
        <w:t xml:space="preserve">Absolwent zna i rozumie w zaawansowanym stopniu uregulowania prawne prowadzenia działalności gospodarczej w zakresie podatkowym i skarbowym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Z1_UW1, Z1_UK10: </w:t>
      </w:r>
    </w:p>
    <w:p>
      <w:pPr/>
      <w:r>
        <w:rPr/>
        <w:t xml:space="preserve">Absolwent potrafi wykorzystywać posiadaną wiedzę do profesjonalnego porozumiewywania się z otoczeniem organizacji, w tym słuzbami skarbowymi i księgowymi z użyciem specjalistycznej terminologii, m.in. do zakładania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zarządzania, szczególnie w ramach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Z1_KO3: </w:t>
      </w:r>
    </w:p>
    <w:p>
      <w:pPr/>
      <w:r>
        <w:rPr/>
        <w:t xml:space="preserve">Absolwent jest gotowy do wypełniania zobowiązań społecznych wynikających z systemu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2026-08-08T11:21:43+02:00</dcterms:created>
  <dcterms:modified xsi:type="dcterms:W3CDTF">2026-08-08T11:21:43+02:00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