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ECTS
20h wykład + 2h konsultacje indywidualne + 3h opracowanie projektowej pracy zaliczeniowej = 25h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wykład + 2h konsultacje indywidualne + 3h opracowanie projektowej pracy zaliczeniowej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 </w:t>
      </w:r>
    </w:p>
    <w:p>
      <w:pPr>
        <w:keepNext w:val="1"/>
        <w:spacing w:after="10"/>
      </w:pPr>
      <w:r>
        <w:rPr>
          <w:b/>
          <w:bCs/>
        </w:rPr>
        <w:t xml:space="preserve">Limit liczby studentów: </w:t>
      </w:r>
    </w:p>
    <w:p>
      <w:pPr>
        <w:spacing w:before="20" w:after="190"/>
      </w:pPr>
      <w:r>
        <w:rPr/>
        <w:t xml:space="preserve">- od 15 osób do limitu miejsc w sali audytoryjnej (wykład)</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pracy zaliczeniowej.</w:t>
      </w:r>
    </w:p>
    <w:p>
      <w:pPr>
        <w:keepNext w:val="1"/>
        <w:spacing w:after="10"/>
      </w:pPr>
      <w:r>
        <w:rPr>
          <w:b/>
          <w:bCs/>
        </w:rPr>
        <w:t xml:space="preserve">Treści kształcenia: </w:t>
      </w:r>
    </w:p>
    <w:p>
      <w:pPr>
        <w:spacing w:before="20" w:after="190"/>
      </w:pPr>
      <w:r>
        <w:rPr/>
        <w:t xml:space="preserve">Wykład: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17 -18. Doświadczenia w zakresie transferu technologii w USA. Klaster: Dolina Krzemowa. 
19-20. Uwarunkowania rozwoju sektora wysokich technologii (na wybranych przykładach)
</w:t>
      </w:r>
    </w:p>
    <w:p>
      <w:pPr>
        <w:keepNext w:val="1"/>
        <w:spacing w:after="10"/>
      </w:pPr>
      <w:r>
        <w:rPr>
          <w:b/>
          <w:bCs/>
        </w:rPr>
        <w:t xml:space="preserve">Metody oceny: </w:t>
      </w:r>
    </w:p>
    <w:p>
      <w:pPr>
        <w:spacing w:before="20" w:after="190"/>
      </w:pPr>
      <w:r>
        <w:rPr/>
        <w:t xml:space="preserve">Wykład: 
Ocena formatywna:: pisemna praca kontrolna
Ocena sumatywna:  . Ocena końcowa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Szatkowski, K., 2016. Zarządzanie innowacjami i transferem technologii. Warszawa: PWN.
2.	Tylżanowski, R.  2016. Transfer technologii w przedsiębiorstwach wysokiej techniki w Polsce. Warszawa: CeDeWu.
3.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
4.	Granieri M., 2019. Capacity Building in Technology Transfer. New York: Springer International Publishing.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Z1_WG4: </w:t>
      </w:r>
    </w:p>
    <w:p>
      <w:pPr/>
      <w:r>
        <w:rPr/>
        <w:t xml:space="preserve">Absolwent zna i rozumie w zaawansowanym stopniu teorie, metody i narzędzia z zakresu transferu wiedzy i technologii</w:t>
      </w:r>
    </w:p>
    <w:p>
      <w:pPr>
        <w:spacing w:before="60"/>
      </w:pPr>
      <w:r>
        <w:rPr/>
        <w:t xml:space="preserve">Weryfikacja: </w:t>
      </w:r>
    </w:p>
    <w:p>
      <w:pPr>
        <w:spacing w:before="20" w:after="190"/>
      </w:pPr>
      <w:r>
        <w:rPr/>
        <w:t xml:space="preserve">Wykład – pisemna praca kontrolna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podstawy funkcjonowania  przedsiębiorstw w zakresie zarządzania transferem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do formułowania i rozwiązywania złożonych i nietypowych problemów z zakresu zarządzania transferem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Z1_UK10: </w:t>
      </w:r>
    </w:p>
    <w:p>
      <w:pPr/>
      <w:r>
        <w:rPr/>
        <w:t xml:space="preserve">Absolwent potrafi porozumiewać się w sposób profesjonalny, przy użyciu terminologii właściwej dla transferu wiedzy i technologii</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 w szczególności w zakresie zastosowania metod transeru wiedzy i technologii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transferu wiedzy i technologii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Wykład – pisemna praca kontrolna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2026-10-16T17:33:52+02:00</dcterms:created>
  <dcterms:modified xsi:type="dcterms:W3CDTF">2026-10-16T17:33:52+02:00</dcterms:modified>
</cp:coreProperties>
</file>

<file path=docProps/custom.xml><?xml version="1.0" encoding="utf-8"?>
<Properties xmlns="http://schemas.openxmlformats.org/officeDocument/2006/custom-properties" xmlns:vt="http://schemas.openxmlformats.org/officeDocument/2006/docPropsVTypes"/>
</file>