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+ 10h przygotowanie do zajęć, egzaminu, przygotowanie projektów i prezentacji + 7h zapoznanie z literaturą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
</w:t>
      </w:r>
    </w:p>
    <w:p>
      <w:pPr>
        <w:keepNext w:val="1"/>
        <w:spacing w:after="10"/>
      </w:pPr>
      <w:r>
        <w:rPr>
          <w:b/>
          <w:bCs/>
        </w:rPr>
        <w:t xml:space="preserve">Metody oceny: </w:t>
      </w:r>
    </w:p>
    <w:p>
      <w:pPr>
        <w:spacing w:before="20" w:after="190"/>
      </w:pPr>
      <w:r>
        <w:rPr/>
        <w:t xml:space="preserve">Wykład: 
1. Ocena formatywna: związana z aktywności studentów podczas zajęć
2. Ocena sumatywna: egzamin końcowy w formie dyskusji.
Ćwiczenia: 
1. Ocena formatywna: dotyczy przedstawiania prezentacji oraz aktywnego uczestnictwa w dyskusjach związanych z projektami studentów.
2. Ocena sumatywna: dotyczy wartości merytorycznej przedstawionych projektów.
Końcowa ocena z przedmiotu: średnia arytmetyczna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Lankhorst M.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Z1_WG3: </w:t>
      </w:r>
    </w:p>
    <w:p>
      <w:pPr/>
      <w:r>
        <w:rPr/>
        <w:t xml:space="preserve">Absolwent zna i rozumie w zaawansowanym stopniu zagadnienia architektury korporacyjnej przedsiębiorstw, w tym typy, formy i zasady projektowania architektur korporacyjnych</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porozumiewać się w sposób profesjonalny, przy użyciu terminologii właściwej dla architektury korporacyjnej</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w:t>
      </w:r>
    </w:p>
    <w:p>
      <w:pPr/>
      <w:r>
        <w:rPr/>
        <w:t xml:space="preserve">Absolwent potrafi wykorzystywać posiadaną wiedzę, narzędzia oraz techniki informacyjno-komunikacyjne do planowania i organizowania pracy indywidualnej oraz                   w zespołach</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Z1_UW1: </w:t>
      </w:r>
    </w:p>
    <w:p>
      <w:pPr/>
      <w:r>
        <w:rPr/>
        <w:t xml:space="preserve">Absolwent potrafi wykorzystać posiadaną wiedzę do projektowania architektury korporacyjnej</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architektury korporacyjnej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2026-08-07T04:54:27+02:00</dcterms:created>
  <dcterms:modified xsi:type="dcterms:W3CDTF">2026-08-07T04:54:27+02:00</dcterms:modified>
</cp:coreProperties>
</file>

<file path=docProps/custom.xml><?xml version="1.0" encoding="utf-8"?>
<Properties xmlns="http://schemas.openxmlformats.org/officeDocument/2006/custom-properties" xmlns:vt="http://schemas.openxmlformats.org/officeDocument/2006/docPropsVTypes"/>
</file>