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zajęć, egzaminu, przygotowanie projektów i prezentacji + 7h zapoznanie z literaturą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
</w:t>
      </w:r>
    </w:p>
    <w:p>
      <w:pPr>
        <w:keepNext w:val="1"/>
        <w:spacing w:after="10"/>
      </w:pPr>
      <w:r>
        <w:rPr>
          <w:b/>
          <w:bCs/>
        </w:rPr>
        <w:t xml:space="preserve">Metody oceny: </w:t>
      </w:r>
    </w:p>
    <w:p>
      <w:pPr>
        <w:spacing w:before="20" w:after="190"/>
      </w:pPr>
      <w:r>
        <w:rPr/>
        <w:t xml:space="preserve">Wykład: 
1. Ocena formatywna: związana z aktywności studentów podczas zajęć
2. Ocena sumatywna: egzamin końcowy w formie dyskusji.
Ćwiczenia: 
1. Ocena formatywna: dotyczy przedstawiania prezentacji oraz aktywnego uczestnictwa w dyskusjach związanych z projektami studentów.
2. Ocena sumatywna: dotyczy wartości merytorycznej przedstawionych projektów.
Końcowa ocena z przedmiotu: średnia arytmetyczna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Lankhorst M.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w zaawansowanym stopniu zagadnienia architektury korporacyjnej przedsiębiorstw, w tym typy, formy i zasady projektowania architektur korporacyjnych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Z1_UW1: </w:t>
      </w:r>
    </w:p>
    <w:p>
      <w:pPr/>
      <w:r>
        <w:rPr/>
        <w:t xml:space="preserve">Absolwent potrafi wykorzystać posiadaną wiedzę do projektowania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architektury korporacyjnej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2025-10-06T11:03:30+02:00</dcterms:created>
  <dcterms:modified xsi:type="dcterms:W3CDTF">2025-10-06T11:03:30+02:00</dcterms:modified>
</cp:coreProperties>
</file>

<file path=docProps/custom.xml><?xml version="1.0" encoding="utf-8"?>
<Properties xmlns="http://schemas.openxmlformats.org/officeDocument/2006/custom-properties" xmlns:vt="http://schemas.openxmlformats.org/officeDocument/2006/docPropsVTypes"/>
</file>