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4ECTS
100h = 60h ćwiczenia + 40h praca własna studenta(przygotowanie do zajęć, przygotowanie do zaliczenia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wyższy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osiągnięcie poziomu B2 zgodnie z Euro-pejskim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ocenie podlegają krótkie prace kontrolne , wypowiedzi ustne, prace domowe (pisemne i ustne), test modułowy po każdych 30 godzinach nauki, praca na zajęciach 
2.	Ocena sumatywna: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oraz karty przedmiotów dostępne na stronie www.sjo.pw.edu.pl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Student ma uporządkowaną znajomość struktur gramatycznych i słownictwa dotyczących rozumienia i tworzenia różnych rodzajów tekstów pisanych i mówionych, formalnych i nieformalnych, zarówno ogólnych jak z obszaru zarządzania i jego subdyscyplin, oraz dylematów współczesnej cywilizacji, zwłaszcza w perspektywie zachodzącej transformacji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krótkie prace kontrolne, wypowiedzi ustne, prezentacja ustna; prace domowe, 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Z1_UK11 Z1_UK12: </w:t>
      </w:r>
    </w:p>
    <w:p>
      <w:pPr/>
      <w:r>
        <w:rPr/>
        <w:t xml:space="preserve">Student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wybranych zagadnień zarządzania, etyki, społecznej odpowiedzialności biznesu oraz gospodarki cyfrowej, potrafi pozyskać z nich informacje, a także dokonać ich interpretacji. Potrafi wypowiadać się i prowadzić rozmowę na tematy ogólne i związane z obszarem zarządzania, etyki, społecznej odpowiedzialności biznesu oraz gospodarki cyfrowej jasno, spontanicznie i płynnie tak, że można bez trudu zrozumieć sens jego wypowiedzi, z zastosowaniem form stylistycznych i gramatycznych na poziomie B2 oraz potrafi przygotować prezentację ustną, dotyczącą szczegółowych zagadnień z zakresu zarządzania, etyki, społecznej odpowiedzialności biznesu oraz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krótkie prace kontrolne, wypowiedzi ustne, prezentacja ustna; prace domowe, 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 w warunkach gospodarki cyfrowej, w środowisku międzynarodowym oraz do zasięgania opinii ekspertów w przypadku napotkania ograniczeń samodzielnego rozwiązania problemów. 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aktywność na zajęciach, wypowiedzi ustne,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Z1_KR5: </w:t>
      </w:r>
    </w:p>
    <w:p>
      <w:pPr/>
      <w:r>
        <w:rPr/>
        <w:t xml:space="preserve">Absolwent jest gotowy do odpowiedzialnego pełnienia ról zawodowych w środowisku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aktywność na zajęciach, wypowiedzi ustne,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2026-08-07T02:03:51+02:00</dcterms:created>
  <dcterms:modified xsi:type="dcterms:W3CDTF">2026-08-07T02:03:51+02:00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