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 i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4ECTS
100h = 60h ćwiczenia + 40h praca własna studenta(przygotowanie do zajęć, przygotowanie do zaliczenia ćwiczeń)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wyższy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osiągnięcie poziomu B2 zgodnie z Euro-pejskim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	Ocena formatywna: ocenie podlegają krótkie prace kontrolne , wypowiedzi ustne, prace domowe (pisemne i ustne), test modułowy po każdych 30 godzinach nauki, praca na zajęciach 
2.	Ocena sumatywna: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 Informacje o podręcznikach znajdują się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oraz karty przedmiotów dostępne na stronie www.sjo.pw.edu.pl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Z1_WG3: </w:t>
      </w:r>
    </w:p>
    <w:p>
      <w:pPr/>
      <w:r>
        <w:rPr/>
        <w:t xml:space="preserve">Student ma uporządkowaną znajomość struktur gramatycznych i słownictwa dotyczących rozumienia i tworzenia różnych rodzajów tekstów pisanych i mówionych, formalnych i nieformalnych, zarówno ogólnych jak z obszaru zarządzania i jego subdyscyplin, oraz dylematów współczesnej cywilizacji, zwłaszcza w perspektywie zachodzącej transformacji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krótkie prace kontrolne, wypowiedzi ustne, prezentacja ustna; prace domowe, testy modułowe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Z1_UK11 Z1_UK12: </w:t>
      </w:r>
    </w:p>
    <w:p>
      <w:pPr/>
      <w:r>
        <w:rPr/>
        <w:t xml:space="preserve">Student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wybranych zagadnień zarządzania, etyki, społecznej odpowiedzialności biznesu oraz gospodarki cyfrowej, potrafi pozyskać z nich informacje, a także dokonać ich interpretacji. Potrafi wypowiadać się i prowadzić rozmowę na tematy ogólne i związane z obszarem zarządzania, etyki, społecznej odpowiedzialności biznesu oraz gospodarki cyfrowej jasno, spontanicznie i płynnie tak, że można bez trudu zrozumieć sens jego wypowiedzi, z zastosowaniem form stylistycznych i gramatycznych na poziomie B2 oraz potrafi przygotować prezentację ustną, dotyczącą szczegółowych zagadnień z zakresu zarządzania, etyki, społecznej odpowiedzialności biznesu oraz gospodarki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krótkie prace kontrolne, wypowiedzi ustne, prezentacja ustna; prace domowe, testy modułowe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jest gotowy do uznania znaczenia wiedzy w rozwiązywaniu problemów poznawczych i praktycznych z zakresu zarządzania w warunkach gospodarki cyfrowej, w środowisku międzynarodowym oraz do zasięgania opinii ekspertów w przypadku napotkania ograniczeń samodzielnego rozwiązania problemów. 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aktywność na zajęciach, wypowiedzi ustne, przygotowanie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Z1_KR5: </w:t>
      </w:r>
    </w:p>
    <w:p>
      <w:pPr/>
      <w:r>
        <w:rPr/>
        <w:t xml:space="preserve">Absolwent jest gotowy do odpowiedzialnego pełnienia ról zawodowych w środowisku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aktywność na zajęciach, wypowiedzi ustne, przygotowanie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2026-10-13T23:18:44+02:00</dcterms:created>
  <dcterms:modified xsi:type="dcterms:W3CDTF">2026-10-13T23:18:44+02:00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