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i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1ECTS
25h = 15h wykład + 1h konsultacje + 3h analiza literatury + 6h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podstawy z zakresu funkcjonowania i organizacji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absolwenta wiedzy z zakresu podstawowych zasad prawa w działalności gospodarczej, umiejętności rozwiązywania problemów prawnych dotyczących działalności w zmieniającej się rzeczywistości, w świecie nowych technologii i stałego rozwoju gospodarki cyfrowej.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Regulamin przedmiotu oraz zasady jego zaliczenia. Ogólna charakterystyka prawnych podstaw działalności gospodarczej i prawa gospodarczego. Pojęcie przedsiębiorcy. Omówienie źródeł prawa.
2. Warunki podejmowania i wykonywania działalności gospodarczej. Formy organizacyjno – prawne prowadzenia działalności gospodarczej. Spółki prawa cywilnego. Ewidencja działalności gospodarczej w CEIDG i KRS.
3. Reglamentacja działalności gospodarczej. Warunki działalności koncesjonowanej i objętej zezwoleniem. Działalność regulowana. 
4. Księgowość i sprawozdawczość przedsiębiorstwa. Rodzaje opodatkowania działalności gospodarczej. Podatek dochodowy od osób fizycznych i od osób prawnych. Charakterystyka uproszczonych form opodatkowania. Istota i konstrukcja składek na ubezpieczenia społeczne i zdrowotne. Zasady ustalenia podstawy wymiaru składek. 
5. Ogólna charakterystyka spółek osobowych i kapitałowych. Typy, cechy charakterystyczne, osobowość prawna. Struktura organizacyjna, majątek, reprezentacja spółek prawa handlowego. Definicja i pojęcie spółki publicznej. Wybrane zagadnienia z prawa upadłościowego i prawa restrukturyzacyjnego.
6. Sprawy kapitałowe w spółce z o.o. (wkłady, kapitał zakładowy – pojęcie, źródła, podwyższenie i obniżenie). Pozycja wspólnika w spółce z o.o. Organy spółki z o.o. Rozwiązanie, likwidacja i upadłość spółki z o.o.
7. Uchwały w spółkach kapitałowych. Zaskarżanie uchwał zgromadzenia wspólników.
8. Charakterystyka umów i regulaminów w działalności gospodarczej. Treść, forma i rodzaje umów gospodarczych. Sporządzanie dokumentacji przedsiębiorstwa. Umowa o pracę i umowy cywilnoprawne w działalności gospodarczej.
9. Instrumenty zabezpieczenia wierzytelności gospodarczych.
10. Prawna ochrona interesu przedsiębiorcy. Odpowiedzialność cywilna i karna przedsiębiorcy. Polubowne rozwiązywanie sporów. Zasady postępowania sądowego. Rodzaje środków zaskarżenia. Postępowanie egzekucyjne.
11. Podsumowanie. Sprawdzian ustny.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aktywny udział w debacie na zajęciach 
2. Ocena sumatywna: sprawdzian ustny, ocena w zakresie 2 – 5; za-liczenie: uzyskanie oceny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Z., Szafrański A., 2018, Publiczne prawo gospodarcze, Warszawa: C.H. Beck
2.	Bilewska K., Chłopecki A., 2019, Prawo handlowe, Warszawa: C.H. Beck
3.	Muras Z., 2017, Podstawy prawa, Warszawa: C.H. Beck
4.	Smoleń P., Wójtowicz W., 2019, Prawo podatkowe, Warszawa: C.H. Beck
5.	Dobaczewska A., Powałowski A., Wolska H., 2018, Nowe prawo przedsiębiorców, Warszawa: C.H. Beck
Uzupełniająca:
1.	Olejniczak A., Radwański Z., 2018, Zobowiązania – część ogólna, Warszawa: C.H. Beck
2.	Panowicz-Lipska J., Radwański Z., 2017, Zobowiązania – część szczegółowa, Warszawa: C.H. Beck
3.	Powałowski A., 2017, Prawo gospodarcze publiczne, Warszawa: C.H. Beck
4.	Sagan B., Uliasz R., Wapińska D., Bielaszka R., Miśko T., Mroczyński-Szmaj Ł., Stapiński R., 2016, Prawo gospodarcze. Kompendium, Warszawa: C.H. Beck
5.	Szumański A., Pyzioł W., Weiss I., 2018, Prawo spółek, Warszawa: C.H. 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Z1_WG1: </w:t>
      </w:r>
    </w:p>
    <w:p>
      <w:pPr/>
      <w:r>
        <w:rPr/>
        <w:t xml:space="preserve">Absolwent zna i rozumie w zaawansowanym stopniu zagadnienia z prawa gospodarczego i handlowego;  wie jakie są ich relacje z zarządzaniem szczególnie w obliczu zachodzącej transformacji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prawne odnoszące się do pracy we współczesnych organizacjach, zwłaszcza na stanowiskach analitycznych oraz przy prowadzeniu własnej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w zaawansowanym stopniu podstawowe zasady tworzenia i rozwoju różnych form przedsiębiorczości wynikające z uwarunkowań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terminologii, w szczególności w zakresie terminologii prawniczej i poruszania się po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zarządzania, społecznej odpowiedzialności biznesu oraz gospodarki cyfrowej ze szczególnym naciskiem na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aspektów prawnych zarządzania w warunkach gospodarki cyfrowej oraz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prawa oraz zasięgania opinii ekspertów w przypadku napotkania ograniczeń samodzielnego rozwiązania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ról zawodowych, w tym przestrzegania zasad etyki zawodowej i wymagania tego od innych oraz dbałości o dorobek i tradycje zawodu w obszarze zarządzania w obliczu zachodzącej transformacji gospodarki cyfrowej i w odniesieniu do zachodzących zmianach w prawie.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2026-10-14T17:03:08+02:00</dcterms:created>
  <dcterms:modified xsi:type="dcterms:W3CDTF">2026-10-14T17:03:08+02:00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