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 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udział w ćwiczeniach - 30 godz., b) udział w konsultacjach - 2 godz. Razem: 32 godz. = 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W. Wrotek Office 2016 PL. Kurs. Helion. 2016, P. Wróblewski MS Office 2016 PL w biurze i nie tylko. Helion 2015.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omówić zastosowania i wykorzystać wybrane narzędzia współczesnych technologii informacyjnych i komunikacyjnych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praktycznego i bezpiecznego wykorzystywania funkcjonalności narzędzi informatycznych w biznesie i administracji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z zakresu bezpiecznej komunikacji i efektywnego wykorzystania aplikacji biurowych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aplikacje zgodnie z obowiązującymi zasadami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II.S.P6S_UW.3.o, II.H.P6S_UW.1, I.P6S_UW, II.S.P6S_UW.1, II.S.P6S_UW.2.o, II.T.P6S_UW.2</w:t>
      </w:r>
    </w:p>
    <w:p>
      <w:pPr>
        <w:keepNext w:val="1"/>
        <w:spacing w:after="10"/>
      </w:pPr>
      <w:r>
        <w:rPr>
          <w:b/>
          <w:bCs/>
        </w:rPr>
        <w:t xml:space="preserve">Charakterystyka U_02: </w:t>
      </w:r>
    </w:p>
    <w:p>
      <w:pPr/>
      <w:r>
        <w:rPr/>
        <w:t xml:space="preserve">Potrafi analizować problemy oraz umiejętnie je rozwiązywać w oparciu o poznane zasady, metody i aplikacje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zidentyfikować zagrożenia i wie jak bezpiecznie przetwarzać i chronić wytwarzane informacje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ciągłej zmiany edukacji i doskonalenia w zakresie skutecznego wykorzystywania narzędzi informatycznych, bezpieczeństwa i ochrony danych w administracji publicznej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Rozumie potrzebę wprowadzenia i stosowania uporządkowanych zasad i procedur w zakresie prawidłowej obsługi systemów teleinformatycznych i aplikacji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2024-05-19T23:33:58+02:00</dcterms:created>
  <dcterms:modified xsi:type="dcterms:W3CDTF">2024-05-19T23:33:58+02:00</dcterms:modified>
</cp:coreProperties>
</file>

<file path=docProps/custom.xml><?xml version="1.0" encoding="utf-8"?>
<Properties xmlns="http://schemas.openxmlformats.org/officeDocument/2006/custom-properties" xmlns:vt="http://schemas.openxmlformats.org/officeDocument/2006/docPropsVTypes"/>
</file>