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formalne w prawie i administracji</w:t>
      </w:r>
    </w:p>
    <w:p>
      <w:pPr>
        <w:keepNext w:val="1"/>
        <w:spacing w:after="10"/>
      </w:pPr>
      <w:r>
        <w:rPr>
          <w:b/>
          <w:bCs/>
        </w:rPr>
        <w:t xml:space="preserve">Koordynator przedmiotu: </w:t>
      </w:r>
    </w:p>
    <w:p>
      <w:pPr>
        <w:spacing w:before="20" w:after="190"/>
      </w:pPr>
      <w:r>
        <w:rPr/>
        <w:t xml:space="preserve">dr hab. Zbigniew Król -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A21_MFPA</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Opcjonalnie w dwóch wariantach w zależności od wybranej przez studenta formy zaliczenia (1) lub (2):
1) Udział w wykładach 15h
Praca własna: 
-przygotowanie do zajęć 30h
-czytanie wskazanej literatury 5h
- napisanie referatu 0
Ogółem praca własna wariant 1 35h
lub
2) Udział w wykładach 15h
Praca własna: 
-przygotowanie do zajęć 5h
-czytanie wskazanej literatury 10h
- napisanie referatu 20h
Ogółem praca własna wariant 2   35h
Obiążenie studenta ogółem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kursie zakłada się podstawowe wiadomości uzyskane w ramach przedmiotów: logika formalna, logika dla prawników, metodologia nauk, retoryka, matematyka i informatyka.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zapoznanie studentów z zastosowaniami podstawowych metod formalnych w analizie tekstów prawnych i dokumentów urzędowych oraz podanie praktycznych wskazówek umożliwiających stosowanie tych metod. Przedmiot rozwija umiejętność systematycznego i krytycznego myślenia, przydatną w rozumieniu prawa i w definiowaniu sytuacji administracyjno-prawnych. Przedmiot jest zorganizowany w układzie problemowym. Wykłady dotyczą najważniejszych problemów pojęciowych, teoretycznych i praktycznych związanych ze stosowaniem metod formalnych w prawie i administracji. </w:t>
      </w:r>
    </w:p>
    <w:p>
      <w:pPr>
        <w:keepNext w:val="1"/>
        <w:spacing w:after="10"/>
      </w:pPr>
      <w:r>
        <w:rPr>
          <w:b/>
          <w:bCs/>
        </w:rPr>
        <w:t xml:space="preserve">Treści kształcenia: </w:t>
      </w:r>
    </w:p>
    <w:p>
      <w:pPr>
        <w:spacing w:before="20" w:after="190"/>
      </w:pPr>
      <w:r>
        <w:rPr/>
        <w:t xml:space="preserve">1. Wprowadzenie i przypomnienie podstawowych pojęć: Języki naturalne i sztuczne. Podstawowe rodzaje języków sztucznych. Język i metajęzyk. Formalizacja zdań. Ogólny cel i przedmiot zastosowań metod formalnych. Przykłady języków i teorii sformalizowanych. Elementy semiotyki logicznej: pragmatyka, semantyka i syntaktyka. Kategorie syntaktyczne i semantyczne (przypomnienie). Hermeneutyka i wykładnia prawa a metody formalne w prawie i administracji.	2
2. Wnioskowania i ich rodzaje. Schematy wnioskowań. Formalizacja wnioskowań. Analiza wnioskowań i związków logicznych w tekstach prawnych i dokumentach urzędowych. 	2
3. Podstawowe jednostki syntaktyczne i semantyczne aktów i dokumentów prawnych. Określanie kategorii semantycznych aktów prawnych: przykłady. Określanie kategorii syntaktycznych aktów prawnych: przykłady	2
4. Tekst prawny i jego logiczna analiza. Przykłady	2
5. Dokument urzędowy i jego logiczna analiza: przykłady	2
6. Schematy blokowe i algorytmy. Metody graficzne obrazowania zależności strukturalno-logicznych dokumentów i aktów prawnych. Analiza struktury organizacji.	2
7. Analiza tekstu z użyciem algorytmów, schematów blokowych i metod graficznych	2
8. Elementy teorii mnogości i jej zastosowań do rozwiązywania problemów w prawie i administracji.	1
</w:t>
      </w:r>
    </w:p>
    <w:p>
      <w:pPr>
        <w:keepNext w:val="1"/>
        <w:spacing w:after="10"/>
      </w:pPr>
      <w:r>
        <w:rPr>
          <w:b/>
          <w:bCs/>
        </w:rPr>
        <w:t xml:space="preserve">Metody oceny: </w:t>
      </w:r>
    </w:p>
    <w:p>
      <w:pPr>
        <w:spacing w:before="20" w:after="190"/>
      </w:pPr>
      <w:r>
        <w:rPr/>
        <w:t xml:space="preserve">Forma i warunki zaliczenia
Podstawą zaliczenia przedmiotu jest uzyskanie pozytywnych oceny z zadanej pracy zaliczeniowej lub kolokwium oraz aktywność na wykładach. Wykłady kończą się kolokwium lub pracą zaliczeniową, które obejmują wiedzę z wykładów oraz zalecanej literatury. Czas pisania kolokwium – ok. 35 minut. Ocena końcowa będzie określona na podstawie wyników kolokwium lub ocenie z zadanej pracy (fakultatywnie) oraz ocenie aktywności na zajęciach. Studenci wykazujący się aktywnością mogą być zwolnieni z kolokwium zaliczeniowego. Warunki zwolnienia: aktywne uczestnictwo studenta w zajęciach oraz pozytywna ocena pracy zaliczeniowej. Przygotowywanie się do zajęć na podstawie podanej literatury i materiałów źródłowych.
Obecność na wykładach nieobowiązkowa, dla osób chętnych do zdobywania dodatkowych punktów za aktywność na wykładach i zajęciach oraz uprawnionych do pisania pracy zaliczeniowej będzie wyrywkowo sprawdzana obecność. Nieobecność na dwóch listach wyklucza możliwość zdobywania punktów za aktywność na wykładach i pisanie pracy zaliczeniowej.
Pytania i problemy w czasie zajęć. Na wykładach premiowanie „plusami” („dużymi” i „małymi”). Zebranie 2 „dużych” plusów lun 4 „małych” – zaliczenie na ocenę 5,0 bez pisania kolokwium i pracy zaliczeniowej. 
Na prośbę studentów, prowadzący zajęcia może podjąć decyzję o dodatkowych terminach kolokwiów. Prowadzący może podjąć decyzję o zaliczaniu przedmiotu tylko na podstawie kolokwiów
Ocena za przedmiot
Ocena	Student, który zaliczył przedmiot (moduł) wie / umie / potrafi:
3.0	Uzyskał co najmniej 40% maksymalnej łącznej liczby punktów na kolokwium lub zaliczył pracę zaliczeniową na 3,0 wraz z wykazaniem się aktywnością na wykładach
3.5	Uzyskał co najmniej 65% maksymalnej łącznej liczby punktów na kolokwium lub zaliczył pracę zaliczeniową na 3,5 wraz z wykazaniem się aktywnością na wykładach.
4.0	Uzyskał co najmniej 75% maksymalnej łącznej liczby punktów na kolokwium lub zaliczył pracę zaliczeniową na 4,0 wraz z wykazaniem się aktywnością na wykładach.
4.5	Uzyskał co najmniej 85% maksymalnej łącznej liczby punktów na kolokwium lub zaliczył pracę zaliczeniową na 4,5 wraz wykazaniem się aktywnością na wykładach.
5.0	Uzyskał co najmniej 95% maksymalnej łącznej liczby punktów na kolokwium lub zaliczył pracę zaliczeniową na 5,0 wraz wykazaniem się aktywnością na wykładach.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(wybrane fragmenty):
1. Ludwik Borkowski „Logika formalna. Systemy logiczne. Wstęp do metalogiki”, PWN Warszawa 1977
2. Ludwik Borkowski „Elementy logiki formalnej.” Lublin 1991
3. Z. Ziembiński, „Logika praktyczna”, PWN, Warszawa 2007 (i późniejsze wydania)
Literatura uzupełniająca (wybrane fragmenty):
1.	Kazimierz Kuratowski „Wstęp do teorii mnogości i topologii.”, PWN Warszawa 2004
2.	Barbara Stanosz „Ćwiczenia z logiki”, Wydawnictwo Naukowe PWN, Warszawa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Wie na czym polega formalizacja i jakie są metody formalne przydatne w prawie i administracji. </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
</w:t>
      </w:r>
    </w:p>
    <w:p>
      <w:pPr>
        <w:spacing w:before="20" w:after="190"/>
      </w:pPr>
      <w:r>
        <w:rPr>
          <w:b/>
          <w:bCs/>
        </w:rPr>
        <w:t xml:space="preserve">Powiązane charakterystyki kierunkowe: </w:t>
      </w:r>
      <w:r>
        <w:rPr/>
        <w:t xml:space="preserve">K_W02, K_W03, K_W04, K_W01</w:t>
      </w:r>
    </w:p>
    <w:p>
      <w:pPr>
        <w:spacing w:before="20" w:after="190"/>
      </w:pPr>
      <w:r>
        <w:rPr>
          <w:b/>
          <w:bCs/>
        </w:rPr>
        <w:t xml:space="preserve">Powiązane charakterystyki obszarowe: </w:t>
      </w:r>
      <w:r>
        <w:rPr/>
        <w:t xml:space="preserve">I.P7S_WK, II.T.P7S_WG, II.S.P7S_WG.1, II.S.P7S_WG.2, II.X.P7S_WG.1.o, II.H.P7S_WG.1.o, II.H.P7S_WG.2, I.P7S_WG</w:t>
      </w:r>
    </w:p>
    <w:p>
      <w:pPr>
        <w:keepNext w:val="1"/>
        <w:spacing w:after="10"/>
      </w:pPr>
      <w:r>
        <w:rPr>
          <w:b/>
          <w:bCs/>
        </w:rPr>
        <w:t xml:space="preserve">Charakterystyka W_02: </w:t>
      </w:r>
    </w:p>
    <w:p>
      <w:pPr/>
      <w:r>
        <w:rPr/>
        <w:t xml:space="preserve">Wie jakie są metody analizy tekstu prawnego i jakie są zastosowania metod formalnych w rozwiązywaniu problemów w prawie i administracji.</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K_W03, K_W04, K_W01, K_W02</w:t>
      </w:r>
    </w:p>
    <w:p>
      <w:pPr>
        <w:spacing w:before="20" w:after="190"/>
      </w:pPr>
      <w:r>
        <w:rPr>
          <w:b/>
          <w:bCs/>
        </w:rPr>
        <w:t xml:space="preserve">Powiązane charakterystyki obszarowe: </w:t>
      </w:r>
      <w:r>
        <w:rPr/>
        <w:t xml:space="preserve">II.H.P7S_WG.2, I.P7S_WG, II.X.P7S_WG.1.o, II.S.P7S_WG.1, II.S.P7S_WG.2, II.H.P7S_WG.1.o, I.P7S_WK, II.T.P7S_WG</w:t>
      </w:r>
    </w:p>
    <w:p>
      <w:pPr>
        <w:keepNext w:val="1"/>
        <w:spacing w:after="10"/>
      </w:pPr>
      <w:r>
        <w:rPr>
          <w:b/>
          <w:bCs/>
        </w:rPr>
        <w:t xml:space="preserve">Charakterystyka W_03: </w:t>
      </w:r>
    </w:p>
    <w:p>
      <w:pPr/>
      <w:r>
        <w:rPr/>
        <w:t xml:space="preserve">Wie jak analizować kategorie syntaktyczne i semantyczne tekstu prawnego.</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W_04: </w:t>
      </w:r>
    </w:p>
    <w:p>
      <w:pPr/>
      <w:r>
        <w:rPr/>
        <w:t xml:space="preserve">Zna metody logicznej analizy tekstu prawnego i dokumentu urzędowego.</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K_W02, K_W03, K_W04, K_W01</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W_05: </w:t>
      </w:r>
    </w:p>
    <w:p>
      <w:pPr/>
      <w:r>
        <w:rPr/>
        <w:t xml:space="preserve">Wie jak wynajdować funktory logiczne w tekście prawnym i administracyjnym</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
</w:t>
      </w:r>
    </w:p>
    <w:p>
      <w:pPr>
        <w:spacing w:before="20" w:after="190"/>
      </w:pPr>
      <w:r>
        <w:rPr>
          <w:b/>
          <w:bCs/>
        </w:rPr>
        <w:t xml:space="preserve">Powiązane charakterystyki kierunkowe: </w:t>
      </w:r>
      <w:r>
        <w:rPr/>
        <w:t xml:space="preserve">K_W03, K_W04, K_W01, K_W02</w:t>
      </w:r>
    </w:p>
    <w:p>
      <w:pPr>
        <w:spacing w:before="20" w:after="190"/>
      </w:pPr>
      <w:r>
        <w:rPr>
          <w:b/>
          <w:bCs/>
        </w:rPr>
        <w:t xml:space="preserve">Powiązane charakterystyki obszarowe: </w:t>
      </w:r>
      <w:r>
        <w:rPr/>
        <w:t xml:space="preserve">II.H.P7S_WG.1.o, II.H.P7S_WG.2, I.P7S_WG, II.X.P7S_WG.1.o, II.S.P7S_WG.1, II.S.P7S_WG.2, I.P7S_WK, II.T.P7S_WG</w:t>
      </w:r>
    </w:p>
    <w:p>
      <w:pPr>
        <w:keepNext w:val="1"/>
        <w:spacing w:after="10"/>
      </w:pPr>
      <w:r>
        <w:rPr>
          <w:b/>
          <w:bCs/>
        </w:rPr>
        <w:t xml:space="preserve">Charakterystyka W_06: </w:t>
      </w:r>
    </w:p>
    <w:p>
      <w:pPr/>
      <w:r>
        <w:rPr/>
        <w:t xml:space="preserve">Zna podstawy teorii zbiorów i metod graficznych w logice, wie co to jest schemat blokowy i algorytm</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z użyciem metod formalnych akty prawne i dokumenty urzędowe.</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II.S.P7S_UW.3.o, II.H.P7S_UW.1, II.H.P7S_UW.2.o, I.P7S_UW, II.X.P7S_UW.2, II.S.P7S_UW.1, II.S.P7S_UW.2.o, I.P7S_UK, II.X.P7S_UW.3.o</w:t>
      </w:r>
    </w:p>
    <w:p>
      <w:pPr>
        <w:keepNext w:val="1"/>
        <w:spacing w:after="10"/>
      </w:pPr>
      <w:r>
        <w:rPr>
          <w:b/>
          <w:bCs/>
        </w:rPr>
        <w:t xml:space="preserve">Charakterystyka U_02: </w:t>
      </w:r>
    </w:p>
    <w:p>
      <w:pPr/>
      <w:r>
        <w:rPr/>
        <w:t xml:space="preserve">Potrafi określić kategorie syntaktyczne i semantyczne użyte w tekstach prawnych i dokumentach urzędowych</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K_U04, K_U06, K_U01</w:t>
      </w:r>
    </w:p>
    <w:p>
      <w:pPr>
        <w:spacing w:before="20" w:after="190"/>
      </w:pPr>
      <w:r>
        <w:rPr>
          <w:b/>
          <w:bCs/>
        </w:rPr>
        <w:t xml:space="preserve">Powiązane charakterystyki obszarowe: </w:t>
      </w:r>
      <w:r>
        <w:rPr/>
        <w:t xml:space="preserve">II.H.P7S_UW.1, II.H.P7S_UW.2.o, I.P7S_UW, I.P7S_UK, II.X.P7S_UW.3.o, II.S.P7S_UW.1, II.S.P7S_UW.2.o, II.S.P7S_UW.3.o, II.X.P7S_UW.2</w:t>
      </w:r>
    </w:p>
    <w:p>
      <w:pPr>
        <w:keepNext w:val="1"/>
        <w:spacing w:after="10"/>
      </w:pPr>
      <w:r>
        <w:rPr>
          <w:b/>
          <w:bCs/>
        </w:rPr>
        <w:t xml:space="preserve">Charakterystyka U_03: </w:t>
      </w:r>
    </w:p>
    <w:p>
      <w:pPr/>
      <w:r>
        <w:rPr/>
        <w:t xml:space="preserve">Potrafi użyć schematy blokowe i metody graficzne oraz algorytmizować problemy w prawie i administracji</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K_U06, K_U01, K_U04</w:t>
      </w:r>
    </w:p>
    <w:p>
      <w:pPr>
        <w:spacing w:before="20" w:after="190"/>
      </w:pPr>
      <w:r>
        <w:rPr>
          <w:b/>
          <w:bCs/>
        </w:rPr>
        <w:t xml:space="preserve">Powiązane charakterystyki obszarowe: </w:t>
      </w:r>
      <w:r>
        <w:rPr/>
        <w:t xml:space="preserve">II.H.P7S_UW.1, I.P7S_UW, II.S.P7S_UW.1, II.S.P7S_UW.2.o, II.S.P7S_UW.3.o, II.H.P7S_UW.2.o, II.X.P7S_UW.2, I.P7S_UK, II.X.P7S_UW.3.o</w:t>
      </w:r>
    </w:p>
    <w:p>
      <w:pPr>
        <w:keepNext w:val="1"/>
        <w:spacing w:after="10"/>
      </w:pPr>
      <w:r>
        <w:rPr>
          <w:b/>
          <w:bCs/>
        </w:rPr>
        <w:t xml:space="preserve">Charakterystyka U_04: </w:t>
      </w:r>
    </w:p>
    <w:p>
      <w:pPr/>
      <w:r>
        <w:rPr/>
        <w:t xml:space="preserve">Potrafi dokonać logicznej analizy tekstów prawnych i urzędowych.</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I.P7S_UW, II.S.P7S_UW.1, II.S.P7S_UW.2.o, II.S.P7S_UW.3.o, II.H.P7S_UW.1, II.H.P7S_UW.2.o, II.X.P7S_UW.2, I.P7S_UK, II.X.P7S_UW.3.o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K_02: </w:t>
      </w:r>
    </w:p>
    <w:p>
      <w:pPr/>
      <w:r>
        <w:rPr/>
        <w:t xml:space="preserve">Ma świadomość konieczności zachowania spójności logicznej aktów prawnych i reguł społecznych wraz ze świadomością  użyteczności zachowywania konsekwencji w myśleniu i postępowaniu.</w:t>
      </w:r>
    </w:p>
    <w:p>
      <w:pPr>
        <w:spacing w:before="60"/>
      </w:pPr>
      <w:r>
        <w:rPr/>
        <w:t xml:space="preserve">Weryfikacja: </w:t>
      </w:r>
    </w:p>
    <w:p>
      <w:pPr>
        <w:spacing w:before="20" w:after="190"/>
      </w:pPr>
      <w:r>
        <w:rPr/>
        <w:t xml:space="preserve">Podsumowanie:</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2024-05-20T00:25:30+02:00</dcterms:created>
  <dcterms:modified xsi:type="dcterms:W3CDTF">2024-05-20T00:25:30+02:00</dcterms:modified>
</cp:coreProperties>
</file>

<file path=docProps/custom.xml><?xml version="1.0" encoding="utf-8"?>
<Properties xmlns="http://schemas.openxmlformats.org/officeDocument/2006/custom-properties" xmlns:vt="http://schemas.openxmlformats.org/officeDocument/2006/docPropsVTypes"/>
</file>