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(WS1A_08/01)</w:t>
      </w:r>
    </w:p>
    <w:p>
      <w:pPr>
        <w:keepNext w:val="1"/>
        <w:spacing w:after="10"/>
      </w:pPr>
      <w:r>
        <w:rPr>
          <w:b/>
          <w:bCs/>
        </w:rPr>
        <w:t xml:space="preserve">Koordynator przedmiotu: </w:t>
      </w:r>
    </w:p>
    <w:p>
      <w:pPr>
        <w:spacing w:before="20" w:after="190"/>
      </w:pPr>
      <w:r>
        <w:rPr/>
        <w:t xml:space="preserve">dr/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WS1A_08/01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W9 - Wybrane czynniki ergonomiczne w kształtowaniu środowiska pracy; W10 - Uciążliwe i szkodliwe skutki obsługi komputera dla organizmu człowieka; W11 - Ergonomiczny system człowiek – komputer; W12 - Charakterystyka i zasady higieny pracy umysłowej; W13 - Badania ergonomiczne; W14 - Metody i techniki stosowane w ergonomicznych badaniach czynności człowieka w procesie pracy.</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sprawdzianu pisemnego.
3.	Warunkiem koniecznym zaliczenia przedmiotu jest uzyskanie pozytywnych ocen ze sprawdzianu. Ocena końcowa z przedmiotu jest oceną uzyskana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ocenę niedostateczną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W13, W14) </w:t>
      </w:r>
    </w:p>
    <w:p>
      <w:pPr>
        <w:spacing w:before="20" w:after="190"/>
      </w:pPr>
      <w:r>
        <w:rPr>
          <w:b/>
          <w:bCs/>
        </w:rPr>
        <w:t xml:space="preserve">Powiązane charakterystyki kierunkowe: </w:t>
      </w:r>
      <w:r>
        <w:rPr/>
        <w:t xml:space="preserve">B1A_W08_01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 W11, W12)</w:t>
      </w:r>
    </w:p>
    <w:p>
      <w:pPr>
        <w:spacing w:before="20" w:after="190"/>
      </w:pPr>
      <w:r>
        <w:rPr>
          <w:b/>
          <w:bCs/>
        </w:rPr>
        <w:t xml:space="preserve">Powiązane charakterystyki kierunkowe: </w:t>
      </w:r>
      <w:r>
        <w:rPr/>
        <w:t xml:space="preserve">B1A_K02_01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(W1-14)</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2024-05-20T14:06:55+02:00</dcterms:created>
  <dcterms:modified xsi:type="dcterms:W3CDTF">2024-05-20T14:06:55+02:00</dcterms:modified>
</cp:coreProperties>
</file>

<file path=docProps/custom.xml><?xml version="1.0" encoding="utf-8"?>
<Properties xmlns="http://schemas.openxmlformats.org/officeDocument/2006/custom-properties" xmlns:vt="http://schemas.openxmlformats.org/officeDocument/2006/docPropsVTypes"/>
</file>