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(IS1A_34/03)</w:t>
      </w:r>
    </w:p>
    <w:p>
      <w:pPr>
        <w:keepNext w:val="1"/>
        <w:spacing w:after="10"/>
      </w:pPr>
      <w:r>
        <w:rPr>
          <w:b/>
          <w:bCs/>
        </w:rPr>
        <w:t xml:space="preserve">Koordynator przedmiotu: </w:t>
      </w:r>
    </w:p>
    <w:p>
      <w:pPr>
        <w:spacing w:before="20" w:after="190"/>
      </w:pPr>
      <w:r>
        <w:rPr/>
        <w:t xml:space="preserve">dr hab. inż. /Dorota Bzowska/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IS1A_34/03</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kolokwium - 5;
Razem - 25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
</w:t>
      </w:r>
    </w:p>
    <w:p>
      <w:pPr>
        <w:keepNext w:val="1"/>
        <w:spacing w:after="10"/>
      </w:pPr>
      <w:r>
        <w:rPr>
          <w:b/>
          <w:bCs/>
        </w:rPr>
        <w:t xml:space="preserve">Treści kształcenia: </w:t>
      </w:r>
    </w:p>
    <w:p>
      <w:pPr>
        <w:spacing w:before="20" w:after="190"/>
      </w:pPr>
      <w:r>
        <w:rPr/>
        <w:t xml:space="preserve">W1 - Budownictwo niskoenergetyczne, termomodernizacja, elementy audytu energetycznego budynku;
W2 - Energia promieniowania słonecznego w kontekście redukcji energochłonności obiektów budowlanych, przegrody przezroczyste – selektywne pozyskiwanie energii promieniowania słonecznego;
W3 - Bierne systemy słoneczne – bezpośredniego i pośredniego wykorzystywania  energii promieniowania słonecznego, ściana Tromb’a;
W4 - Helioaktywne systemy słoneczne – konwersja fototermiczna - kolektory słoneczne w systemach cwu;
W5 - Izolacje transparentne, materiały budowlane nowej generacji;
W6 - Wymienniki gruntowe ciepła w instalacjach wentylacyjnych z wysokosprawnym wymiennikiem ciepła;
W7 - Schemat działania zaawansowanych systemów wentylacji naturalnej, ANV;
W8 - Termowizja – detekcja wad ciepnych w obudowie budynku;
W9 - BSP – komercyjne programy symulacji procesów cieplno-przepływowych zachodzących w budynkach;
W10 - Wykorzystanie odnawialnych źródeł energii w budownictwie.</w:t>
      </w:r>
    </w:p>
    <w:p>
      <w:pPr>
        <w:keepNext w:val="1"/>
        <w:spacing w:after="10"/>
      </w:pPr>
      <w:r>
        <w:rPr>
          <w:b/>
          <w:bCs/>
        </w:rPr>
        <w:t xml:space="preserve">Metody oceny: </w:t>
      </w:r>
    </w:p>
    <w:p>
      <w:pPr>
        <w:spacing w:before="20" w:after="190"/>
      </w:pPr>
      <w:r>
        <w:rPr/>
        <w:t xml:space="preserve">Warunkiem zaliczenia przedmiotu jest zaliczenie dwóch kolokwiów. Kolokwia oceniane są punktowo w skali od 0 do 100. Przeliczanie punktów na oceny przebiega wg. schematu:
5,0 –  91-100%, 4,5 –  81-90%, 4,0 –  71-80%, 3,5 –  61-70%, 3,0 –  51-60%, 2,0 –  0-50%
Wyznaczane są konsultacje w uzgodnionych wcześniej terminach. Prowadzący ma kontakt 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Potrafii wyznaczyć zapotrzebowanie energii w obiekcie budowlanym oraz ma przyswojoną metodologię obliczania kolektorów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uporządkowaną wiedzę z zakresu ochrony cieplnej budynków oraz użytkowania energii ze źródeł niekonwencjonalnych</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podłębioną wiedzę z zakresu fizyki budowli</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W04_02: </w:t>
      </w:r>
    </w:p>
    <w:p>
      <w:pPr/>
      <w:r>
        <w:rPr/>
        <w:t xml:space="preserve">Ma ogólną wiedzę nt. charakterystyki energetycznej budynku</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I1A_W04_02</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o tendencjach rozwojowych z zakresu nowoczesnych technologii w inwestycjiach budowlanych z uwzględnieniem ich energooszczędności</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2025-04-02T03:39:45+02:00</dcterms:created>
  <dcterms:modified xsi:type="dcterms:W3CDTF">2025-04-02T03:39:45+02:00</dcterms:modified>
</cp:coreProperties>
</file>

<file path=docProps/custom.xml><?xml version="1.0" encoding="utf-8"?>
<Properties xmlns="http://schemas.openxmlformats.org/officeDocument/2006/custom-properties" xmlns:vt="http://schemas.openxmlformats.org/officeDocument/2006/docPropsVTypes"/>
</file>