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laboratorium</w:t>
      </w:r>
    </w:p>
    <w:p>
      <w:pPr>
        <w:keepNext w:val="1"/>
        <w:spacing w:after="10"/>
      </w:pPr>
      <w:r>
        <w:rPr>
          <w:b/>
          <w:bCs/>
        </w:rPr>
        <w:t xml:space="preserve">Koordynator przedmiotu: </w:t>
      </w:r>
    </w:p>
    <w:p>
      <w:pPr>
        <w:spacing w:before="20" w:after="190"/>
      </w:pPr>
      <w:r>
        <w:rPr/>
        <w:t xml:space="preserve">dr hab.inż./Dorota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IS1A_29_L</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- 7 h, zapoznanie ze wskazaną literaturą - 4 h, opracowanie wyników - 3 h, napisanie sprawozdania - 3 h, razem 25 h; 
Razem 25 h = 1,0 ECTS</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- 15 h, ;
Razem 15 h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- 7 h, zapoznanie ze wskazaną literaturą - 4 h, opracowanie wyników - 3 h, napisanie sprawozdania - 3 h, razem 25 h; 
Razem 25 h = 1,0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laboratoria 8-12</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w:t>
      </w:r>
    </w:p>
    <w:p>
      <w:pPr>
        <w:keepNext w:val="1"/>
        <w:spacing w:after="10"/>
      </w:pPr>
      <w:r>
        <w:rPr>
          <w:b/>
          <w:bCs/>
        </w:rPr>
        <w:t xml:space="preserve">Metody oceny: </w:t>
      </w:r>
    </w:p>
    <w:p>
      <w:pPr>
        <w:spacing w:before="20" w:after="190"/>
      </w:pPr>
      <w:r>
        <w:rPr/>
        <w:t xml:space="preserve">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Obecność na ćwiczeniach laboratoryjnych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architektury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
</w:t>
      </w:r>
    </w:p>
    <w:p>
      <w:pPr>
        <w:spacing w:before="60"/>
      </w:pPr>
      <w:r>
        <w:rPr/>
        <w:t xml:space="preserve">Weryfikacja: </w:t>
      </w:r>
    </w:p>
    <w:p>
      <w:pPr>
        <w:spacing w:before="20" w:after="190"/>
      </w:pPr>
      <w:r>
        <w:rPr/>
        <w:t xml:space="preserve">Sprawozdanie z laboratorium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 sprawozdania z laboratorium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2024-05-20T08:39:58+02:00</dcterms:created>
  <dcterms:modified xsi:type="dcterms:W3CDTF">2024-05-20T08:39:58+02:00</dcterms:modified>
</cp:coreProperties>
</file>

<file path=docProps/custom.xml><?xml version="1.0" encoding="utf-8"?>
<Properties xmlns="http://schemas.openxmlformats.org/officeDocument/2006/custom-properties" xmlns:vt="http://schemas.openxmlformats.org/officeDocument/2006/docPropsVTypes"/>
</file>