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przeciwpożarowa (WS1A_11/01)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Jadwiga Fangrat/adiunkt z habilitacją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WS1A_11/01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(liczba godzin według planu studiów) - 15; zapoznanie się z literaturą - 5; przygotowanie do zaliczenia -5; RAZEM: 25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(liczba godzin według planu studiów) - 15h = 0,6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podstawami inżynierii bezpieczeństwa pożarowego budynków. Celem nauczania przedmiotu jest przekazanie wiedzy w zakresie pozwalającym na korzystanie z norm europejskich i przepisów w procesie projektowania.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W1- Podstawowe pojęcia.
W2-Funkcje elementów  budynku w warunkach pożaru.
W3-Stany krytyczne bezpieczeństwa pożarowego.
W4-Reakcja na ogień.
W5-Toksyczność i dymotwórczość materiałów budowlanych.
W6-Wentylacja pożarowa.
W7-Odporność ogniowa.
W8-Zabezpieczenia ogniochronne.
W9-Rozwiązania elementów i instalacji z uwagi na bezpieczeństwo pożarowe.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oceny dostatecznej z  zaliczenia pisemnego.   Zaliczenie będzie się składał o z pięciu pytań. Za każde pytanie  można uzyskać od 0 do 5 punktów.   Ocena dostateczna - od 15 do 18 punktów pod warunkiem uzyskania  nie mniej niż dwóch punktów za każde pytanie.   Ocena dobra - od 19 do 23 punktów pod warunkiem uzyskania nie  mniej niż trzech punktów za każde pytanie.   Ocena bardzo dobra – od 24 do 25 punktów.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Kosiorek M. „Bezpieczeństwo pożarowe budynków. Budownictwo  Ogólne” tom 2, rozdz. 9, Arkady, 2005.  Kosiorek M. i inni: cykl artykułów w Materiałach Budowlanych 10/2005  - 3/2007.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W01_04: </w:t>
      </w:r>
    </w:p>
    <w:p>
      <w:pPr/>
      <w:r>
        <w:rPr/>
        <w:t xml:space="preserve">Ma wiedzę w zakresie fizyki, chemii, fizykochemi spalania, termodynamiki niezbędną do formułowania i rozwiązywania typowych prostych zadań związanych z projektowaniem zabezpieczeń przeciwpożarowych. Ma wiedzę z zakresu wytrzymałości materiałów, konstrukcji żelbetowych, konstrukcji stalowych.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(W1-W9)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I1A_W01_04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Ma podstawową wiedzę w zakresie stosowania standardów, przepisów i norm związanych z bezpieczeństwem pożarowym budynków.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(W1-W9)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ważności i rozumienia pozatechnicznych aspektów i skutków działalności inżynierskiej w tym jej wpływu na środowisko i bezpieczeństwo ludzi.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(W1-W9)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2026-10-18T11:40:27+02:00</dcterms:created>
  <dcterms:modified xsi:type="dcterms:W3CDTF">2026-10-18T11:40:27+02:00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