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(IS1A_62A)</w:t>
      </w:r>
    </w:p>
    <w:p>
      <w:pPr>
        <w:keepNext w:val="1"/>
        <w:spacing w:after="10"/>
      </w:pPr>
      <w:r>
        <w:rPr>
          <w:b/>
          <w:bCs/>
        </w:rPr>
        <w:t xml:space="preserve">Koordynator przedmiotu: </w:t>
      </w:r>
    </w:p>
    <w:p>
      <w:pPr>
        <w:spacing w:before="20" w:after="190"/>
      </w:pPr>
      <w:r>
        <w:rPr/>
        <w:t xml:space="preserve">dr hab.inż.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IS1A_62A</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zajęć - 5, zapoznanie ze wskazaną literaturą - 8, przygotowanie do kolokwium - 7;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w:t>
      </w:r>
    </w:p>
    <w:p>
      <w:pPr>
        <w:keepNext w:val="1"/>
        <w:spacing w:after="10"/>
      </w:pPr>
      <w:r>
        <w:rPr>
          <w:b/>
          <w:bCs/>
        </w:rPr>
        <w:t xml:space="preserve">Metody oceny: </w:t>
      </w:r>
    </w:p>
    <w:p>
      <w:pPr>
        <w:spacing w:before="20" w:after="190"/>
      </w:pPr>
      <w:r>
        <w:rPr/>
        <w:t xml:space="preserve">Warunkiem zaliczenia przedmiotu jest zaliczenie dwóch kolokwiów. Kolokwia oceniane są punktowo w skali od 0 do 100. Przeliczanie punktów na oceny przebiega wg. schematu:
5,0 –  91-100%, 4,5 –  81-90%, 4,0 –  71-80%, 3,5 –  61-70%, 3,0 –  51-60%, 2,0 –  0-50%
Wyznaczane są konsultacje w uzgodnionych wcześniej terminach. Prowadzący ma kontakt e-mailowy ze studentami.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I1A_W12_01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I1A_U13_01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2024-05-20T00:15:21+02:00</dcterms:created>
  <dcterms:modified xsi:type="dcterms:W3CDTF">2024-05-20T00:15:21+02:00</dcterms:modified>
</cp:coreProperties>
</file>

<file path=docProps/custom.xml><?xml version="1.0" encoding="utf-8"?>
<Properties xmlns="http://schemas.openxmlformats.org/officeDocument/2006/custom-properties" xmlns:vt="http://schemas.openxmlformats.org/officeDocument/2006/docPropsVTypes"/>
</file>