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Zapoznanie się ze wskazaną literaturą 20h;
Przygotowanie do sprawdzianów 50h;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Wykłady: min. 15; Ćwiczenia 15-30; </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w:t>
      </w:r>
    </w:p>
    <w:p>
      <w:pPr>
        <w:keepNext w:val="1"/>
        <w:spacing w:after="10"/>
      </w:pPr>
      <w:r>
        <w:rPr>
          <w:b/>
          <w:bCs/>
        </w:rPr>
        <w:t xml:space="preserve">Metody oceny: </w:t>
      </w:r>
    </w:p>
    <w:p>
      <w:pPr>
        <w:spacing w:before="20" w:after="190"/>
      </w:pPr>
      <w:r>
        <w:rPr/>
        <w:t xml:space="preserve">Zaliczenie wykładów uzyskuje się na podstawie czterech sprawdzianów z zakresu wykładów i ćwiczeń audytoryjnych.
Warunkiem koniecznym zaliczenia przedmiotu jest uzyskanie pozytywnych ocen z materiału objętego wykładami i ćwiczeniami audytoryjnymi.
Obowiązuje system punktowy sprawdzianów przeliczany na ocenę końcową z wykładów. Punkty zdobywa się na kolokwiach pisemnych przeprowadzanych w trakcie trwania semestru oraz na końcowym sprawdzianie poprawkowym. Każde kolokwium umożliwia zdobycie 10 punktów (łącznie 40 punktów). Przewiduje się jeden końcowy sprawdzian poprawkowy (łączny) w terminie ustalonym na ostatnich zajęciach. Do zaliczenia wykładów i ćwiczeń audytoryjnych wymagane jest zdobycie minimum 21 punktów. Przeliczenie liczby zdobytych punktów na sprawdzianach na ocenę: od 21 do 24 pkt. – 3,0; od 25 do 28 pkt. – 3,5; od 29 do 32 pkt. – 4,0; od 33 do 36 pkt. – 4,5; od 37 do 40 pkt. – 5,0. Ocena końcowa z przedmiotu jest średnią arytmetyczną z ocen otrzymanych z wykładów oraz z ćwiczeń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w:t>
      </w:r>
    </w:p>
    <w:p>
      <w:pPr>
        <w:spacing w:before="20" w:after="190"/>
      </w:pPr>
      <w:r>
        <w:rPr>
          <w:b/>
          <w:bCs/>
        </w:rPr>
        <w:t xml:space="preserve">Powiązane charakterystyki kierunkowe: </w:t>
      </w:r>
      <w:r>
        <w:rPr/>
        <w:t xml:space="preserve">B1A_U08_01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2024-05-20T12:47:25+02:00</dcterms:created>
  <dcterms:modified xsi:type="dcterms:W3CDTF">2024-05-20T12:47:25+02:00</dcterms:modified>
</cp:coreProperties>
</file>

<file path=docProps/custom.xml><?xml version="1.0" encoding="utf-8"?>
<Properties xmlns="http://schemas.openxmlformats.org/officeDocument/2006/custom-properties" xmlns:vt="http://schemas.openxmlformats.org/officeDocument/2006/docPropsVTypes"/>
</file>