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BN1A_17_L</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10h; 
Opracowanie wyników laboratoryjnych 10h;
 Napisanie sprawozdań z ćwiczeń laboratoryjnych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Opracowanie wyników laboratoryjnych 10h;
 Napisanie sprawozdań z ćwiczeń laboratoryjnych 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Warunkiem zaliczenia przedmiotu jest zaliczenie ćwiczeń laboratoryjnych . Tok prowadzenia i zaliczania ćwiczeń laboratoryjnych podany jest w Regulaminie i przedstawiany jest na pierwszych zajęciach przez Prowadzącego. Pozytywną ocenę z ćwiczeń laboratoryjnych otrzymują studenci, którzy zaliczą tzw. wejściówkę (posiadanie niezbędnej wiedzy do wykonania ćwiczenia laboratoryjnego) i sprawozdanie z każdego z przeprowadzonych ćwiczeń laboratoryjnych.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i przepływem wilgoci w przegrodach budowlanych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W01_02: </w:t>
      </w:r>
    </w:p>
    <w:p>
      <w:pPr/>
      <w:r>
        <w:rPr/>
        <w:t xml:space="preserve">Umie opracowywać wyniki pomiarów fizycznych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wi budynkach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2024-05-20T14:06:56+02:00</dcterms:created>
  <dcterms:modified xsi:type="dcterms:W3CDTF">2024-05-20T14:06:56+02:00</dcterms:modified>
</cp:coreProperties>
</file>

<file path=docProps/custom.xml><?xml version="1.0" encoding="utf-8"?>
<Properties xmlns="http://schemas.openxmlformats.org/officeDocument/2006/custom-properties" xmlns:vt="http://schemas.openxmlformats.org/officeDocument/2006/docPropsVTypes"/>
</file>