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- 10,  napisanie sprawozdania - 10, razem - 50;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 </w:t>
      </w:r>
    </w:p>
    <w:p>
      <w:pPr/>
      <w:r>
        <w:rPr/>
        <w:t xml:space="preserve">Ma wiedzę z tematyki opracowania wyników pomiarów.</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C1A_U08</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2024-05-20T09:26:08+02:00</dcterms:created>
  <dcterms:modified xsi:type="dcterms:W3CDTF">2024-05-20T09:26:08+02:00</dcterms:modified>
</cp:coreProperties>
</file>

<file path=docProps/custom.xml><?xml version="1.0" encoding="utf-8"?>
<Properties xmlns="http://schemas.openxmlformats.org/officeDocument/2006/custom-properties" xmlns:vt="http://schemas.openxmlformats.org/officeDocument/2006/docPropsVTypes"/>
</file>