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dla kontynuujących (poziom B1/B2);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przypomnienie i doskonalenie struktur gramatycznych i leksykalnych, rozumienia ze słuchu i rozumienia tekstu na poziomie średniozaawansowanym. Pierwsze 40 godzin nauki (semestr II, III) przeznacza się na rozwijanie umiejętności językowych umożliwiających analizę  tekstów popularnonaukowych i dotyczących życia codziennego, jak również prowadzenie konwersacji i tworzenie dłuższej wypowiedzi. W semestrze IV i V  wprowadza się ćwiczenie i utrwalanie zadań egzaminacyjnych na poziomie B2.
</w:t>
      </w:r>
    </w:p>
    <w:p>
      <w:pPr>
        <w:keepNext w:val="1"/>
        <w:spacing w:after="10"/>
      </w:pPr>
      <w:r>
        <w:rPr>
          <w:b/>
          <w:bCs/>
        </w:rPr>
        <w:t xml:space="preserve">Treści kształcenia: </w:t>
      </w:r>
    </w:p>
    <w:p>
      <w:pPr>
        <w:spacing w:before="20" w:after="190"/>
      </w:pPr>
      <w:r>
        <w:rPr/>
        <w:t xml:space="preserve">GRAMATYKA
Adjectives/nouns + prepostions; be used to/get used to + V-ing; forming nouns and adjectives; modals of permission and necessity (present + past); modals of speculation and deduction (present + past) ;  prepositional phrases; verbs with similar meamings; reported speech; can/be able to/manage to/succeed in;  conditionals; forming verbs; number and concord; it/there
SŁOWNICTWO/TEMATYKA/FOUR SKILLS
Food;  fashion and look; hairstyles;  relationships;  hobbies; consumer society; spending money; writing an opinion essay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2024-05-20T01:16:00+02:00</dcterms:created>
  <dcterms:modified xsi:type="dcterms:W3CDTF">2024-05-20T01:16:00+02:00</dcterms:modified>
</cp:coreProperties>
</file>

<file path=docProps/custom.xml><?xml version="1.0" encoding="utf-8"?>
<Properties xmlns="http://schemas.openxmlformats.org/officeDocument/2006/custom-properties" xmlns:vt="http://schemas.openxmlformats.org/officeDocument/2006/docPropsVTypes"/>
</file>