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chemiczna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CS2A_14</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metrologii chemicznej, sposobów wyrażania wyników badań i zapewniania ich jakości. Wiedza z zakresu metrologii chemicznej jest niezbędna zarówno w procesie projektowania, jak i sterowania procesem technologicznym, gdy na podstawie wyników pomiarów podejmowane są istotne decyzje o znaczeniu technicznym, ekonomicznym i środowiskowym.</w:t>
      </w:r>
    </w:p>
    <w:p>
      <w:pPr>
        <w:keepNext w:val="1"/>
        <w:spacing w:after="10"/>
      </w:pPr>
      <w:r>
        <w:rPr>
          <w:b/>
          <w:bCs/>
        </w:rPr>
        <w:t xml:space="preserve">Treści kształcenia: </w:t>
      </w:r>
    </w:p>
    <w:p>
      <w:pPr>
        <w:spacing w:before="20" w:after="190"/>
      </w:pPr>
      <w:r>
        <w:rPr/>
        <w:t xml:space="preserve">Wprowadzenie do metrologii chemicznej. Miarodajność wyników badań. Układ jednostek miar. Akredytacja laboratoriów. Norma PN-EN ISO 17025 "Ogólne wymagania dotyczące kompetencji laboratoriów badawczych i wzorcujących" - aspekty systemowe. Norma PN-EN ISO 17025 "Ogólne wymagania dotyczące kompetencji laboratoriów badawczych i wzorcujących" - aspekty techniczne. Zapewnienie spójności pomiarowej: wzorce i certyfikowane materiały odniesienia. Badania biegłości i porównania między-laboratoryjne. Parametry walidacyjne. Walidacja procedury pomiarowej. Elementy statystyki. Niepewność pomiarów, podstawowe definicje, różne sposoby szacowania niepewności pomiarów, przykłady szacowania niepewności pomiarów. Kontrola jakości badań. Karty kontrolne. Kierunki zmian w metrologii chemicznej.</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egzaminu.  
3.	Warunkiem zaliczenia przedmiotu jest uzyskanie pozytywnej oceny z egzaminu pisemnego, która jest jednocześnie oceną zintegrowaną. Stosowana jest następująca skala ocen, w zależności od liczby zdobytych punktów: 91-100%: 5; 81-90%: 4,5; 71-80%: 4; 61-70%: 3,5; 51-60%:3. Istnieje możliwość podniesienia/obniżenia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ISO 17025 - Ogólne wymagania dotyczące kompetencji laboratoriów badawczych i wzorcujących.
2. E. Bulska, Metrologia chemiczna. Sztuka prowadzenia pomiarów, Wyd. II, Wyd. Malamut, Warszawa, 2012.
3. W. Hyk, A. Stojek, Analiza statystyczna w laboratorium analitycznym, Wyd. III, Wyd. Wydz. Chemii Uniwersytetu Warszawskiego, Warszawa, 2010.
4. Praca zbiorowa red. P. Konieczka, J. Namieśnik, Ocena i kontrola jakości wyników pomiarów analitycznych, WNT, Warszawa, 2007.
5. M. Dobecki, Zapewnienie jakości analiz chemicznych, Oficyna Wydawnicza IMP, Łodź, 1998.
6. Dokumenty Polskiego Centrum Akredytacji, w tym: DA-01 „Opis sytemu akredytacji”, DA-05 „Polityka dotycząca uczestnictwa w badaniach biegłości”, DA-06 „Polityka dotycząca zapewnienia spójności pomiarowej”, DAB-07 „Akredytacja laboratoriów. Wymagania szczegółowe”.
7. Wybrane dokumenty organizacji międzynarodowych, w tym: EA-4/14 „Wyrażanie niepewności w pomiarach ilościowych”, ILAC-G8:03/2009 „Wytyczne dotyczące przedstawiania zgodności ze specyfikacją”.
8. „Międzynarodowy słownik podstawowych i ogólnych terminów w metrologii” JGCM, Wyd. 3,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metrologii chemicznej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W17: </w:t>
      </w:r>
    </w:p>
    <w:p>
      <w:pPr/>
      <w:r>
        <w:rPr/>
        <w:t xml:space="preserve">Ma podstawową wiedzę dotyczącą zarządzania, w tym zarządzania jakością wyników badań</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metrologii chemicznej;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metrologii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metrologii chemicznej,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2024-05-19T23:33:30+02:00</dcterms:created>
  <dcterms:modified xsi:type="dcterms:W3CDTF">2024-05-19T23:33:30+02:00</dcterms:modified>
</cp:coreProperties>
</file>

<file path=docProps/custom.xml><?xml version="1.0" encoding="utf-8"?>
<Properties xmlns="http://schemas.openxmlformats.org/officeDocument/2006/custom-properties" xmlns:vt="http://schemas.openxmlformats.org/officeDocument/2006/docPropsVTypes"/>
</file>