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godz, w tym:
a) uczestnictwo w wykładach - 15 godz
b) uczestnictwo w zajęciach w laboratorium komput. - 30 godz
c) udział w konsultacjach  - 5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- 50 godz, w tym:
a) uczestnictwo w wykładach - 15 godz
b) uczestnictwo w zajęciach w laboratorium komput. - 30 godz
c) udział w konsultacjach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Analizy wielokryterialne, metodyka analiz; metoda WLC i OWA, poziom ryzyka, kompensacja kryteriów. Analizy przydatności terenu dla określonego celu, aktywności gospodarczej, rodzaju inwestycji, itp. Przegląd zastosowań praktycznych z zakresu analiz przydatności terenu. 
Metodyka rozwiązywania zadań z zakresu analiz przydatności terenu w przypadku określenia celów sprzecznych (konfliktowych). Wielokryterialna analiza porównawcza – przykład analizy wariantów obwodnicy. Projektowanie optymalnych połączeń na określonej powierzchni terenu; metodyka, pojęcie ‘odległości’ ważonej kosztami, powierzchnia kosztów względnych i skumulowanych.
Analizy z wykorzystaniem danych NMT i modelu pokrycia terenu, w tym analiza widoczności terenu; przykładowe zastosowania. 
Modelowanie zjawiska erozji; erozja potencjalna, model USLE. 
Analizy krajobrazu, wskaźniki struktury krajobrazu (Fragstat, Idrisi). Badanie zmian, metody analizy zmian czasowych. 
Modelowanie z wykorzystaniem SIP, generowanie różnych scenariuszy i prognoz. Rola analiz przestrzennych i modelowania w procesie podejmowania decyzji oraz w rozwiązywaniu bieżących problemów i realizacji potrzeb społeczno-gospodarczych.
Systemy wspierania decyzji, systemy ekspertowe, bazy wiedzy; analizy oparte o wiedzę i
wieloźródłowe dane, informacje, agregacja wiedzy, informacji z różnych źródeł, wnioskowanie numeryczne (D-S) oraz przybliżone, przegląd wybranych zagadnień. 
Problem oceny jakości rezultatów analiz przestrzennych; znaczenie jakości danych wejściowych, propagacja błędów, analiza wrażliwości, ocena poziomu ryzyka.
Ćwiczenia projektowe. Przykładowe realizacje: 
Projekt 1:
A) Analizy wielokryterialne przydatności terenu dla określonej inwestycji / aktywności. Podejście  ostre i mieszane (zastosowanie narzędzi logiki rozmytej). Przegląd źródeł danych do kryteriów analiz przestrzennych z punktu widzenia inwestora lub jednostki samorządu terytorialnego. Metodyka WLC, wyznaczanie wag, w tym z wykorzystaniem metody AHP. 
B) Rozwiązywanie zadań z zakresu analiz przydatności terenu w przypadku określenia celów konfliktowych (sprzecznych); praca zespołowa z uwzględnieniem określonej metodyki.
C) Wybór optymalnej lokalizacji inwestycji / aktywności z zastosowaniem technologii map kosztów i wyznaczania optymalnego połączenia z wybranymi obiektami istniejącej infrastruktury technicznej.
Budowa i testowanie uniwersalności modelu geoprzetwarzania dla opisanej metodyki analiz przestrzennych. 
Projekt 2:
Przykład analizy opartej o wiedzę i wieloźródłowe dane; wnioskowanie numeryczne (D-S) w ramach systemu wspierania decyzji; rozszerzenie o elementy analizy dokładności oraz modelowanie niepewności.
Projekt3:
Zadanie z zakresu modelowania zjawiska erozji (model RUSLE) lub oceny podatności naturalnej wód podziemnych na zanieczyszczenia (model DRASTIC). Budowa modelu / skryptu geoprzetwarzania, ocena wyników modelowania w zależności od dokładności / szczegółowości danych źródłowych.
</w:t>
      </w:r>
    </w:p>
    <w:p>
      <w:pPr>
        <w:keepNext w:val="1"/>
        <w:spacing w:after="10"/>
      </w:pPr>
      <w:r>
        <w:rPr>
          <w:b/>
          <w:bCs/>
        </w:rPr>
        <w:t xml:space="preserve">Metody oceny: </w:t>
      </w:r>
    </w:p>
    <w:p>
      <w:pPr>
        <w:spacing w:before="20" w:after="190"/>
      </w:pPr>
      <w:r>
        <w:rPr/>
        <w:t xml:space="preserve">Zaliczenie wykładów -  sprawdzian.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Jacek, Jaroszewicz Joanna: Podstawy analiz wielokryterialnych w systemach informacji geograficznej, 2018, Oficyna Wydawnicza Politechniki Warszawskiej, ISBN 978-83-7814-762-6, 254 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2026-08-27T12:48:17+02:00</dcterms:created>
  <dcterms:modified xsi:type="dcterms:W3CDTF">2026-08-27T12:48:17+02:00</dcterms:modified>
</cp:coreProperties>
</file>

<file path=docProps/custom.xml><?xml version="1.0" encoding="utf-8"?>
<Properties xmlns="http://schemas.openxmlformats.org/officeDocument/2006/custom-properties" xmlns:vt="http://schemas.openxmlformats.org/officeDocument/2006/docPropsVTypes"/>
</file>