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Data Transmission</w:t>
      </w:r>
    </w:p>
    <w:p>
      <w:pPr>
        <w:keepNext w:val="1"/>
        <w:spacing w:after="10"/>
      </w:pPr>
      <w:r>
        <w:rPr>
          <w:b/>
          <w:bCs/>
        </w:rPr>
        <w:t xml:space="preserve">Koordynator przedmiotu: </w:t>
      </w:r>
    </w:p>
    <w:p>
      <w:pPr>
        <w:spacing w:before="20" w:after="190"/>
      </w:pPr>
      <w:r>
        <w:rPr/>
        <w:t xml:space="preserve">Mgr inż. Marcin Pilarski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Computer Science and Information Systems</w:t>
      </w:r>
    </w:p>
    <w:p>
      <w:pPr>
        <w:keepNext w:val="1"/>
        <w:spacing w:after="10"/>
      </w:pPr>
      <w:r>
        <w:rPr>
          <w:b/>
          <w:bCs/>
        </w:rPr>
        <w:t xml:space="preserve">Grupa przedmiotów: </w:t>
      </w:r>
    </w:p>
    <w:p>
      <w:pPr>
        <w:spacing w:before="20" w:after="190"/>
      </w:pPr>
      <w:r>
        <w:rPr/>
        <w:t xml:space="preserve">Obligatory</w:t>
      </w:r>
    </w:p>
    <w:p>
      <w:pPr>
        <w:keepNext w:val="1"/>
        <w:spacing w:after="10"/>
      </w:pPr>
      <w:r>
        <w:rPr>
          <w:b/>
          <w:bCs/>
        </w:rPr>
        <w:t xml:space="preserve">Kod przedmiotu: </w:t>
      </w:r>
    </w:p>
    <w:p>
      <w:pPr>
        <w:spacing w:before="20" w:after="190"/>
      </w:pPr>
      <w:r>
        <w:rPr/>
        <w:t xml:space="preserve">1120-IN000-ISA-0232</w:t>
      </w:r>
    </w:p>
    <w:p>
      <w:pPr>
        <w:keepNext w:val="1"/>
        <w:spacing w:after="10"/>
      </w:pPr>
      <w:r>
        <w:rPr>
          <w:b/>
          <w:bCs/>
        </w:rPr>
        <w:t xml:space="preserve">Semestr nominalny: </w:t>
      </w:r>
    </w:p>
    <w:p>
      <w:pPr>
        <w:spacing w:before="20" w:after="190"/>
      </w:pPr>
      <w:r>
        <w:rPr/>
        <w:t xml:space="preserve">3 / rok ak. 2024/2025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laboratoriach – 15 h
	c) konsultacje – 5 h
2. dodatkowo student musi poświęcić 50 h na następujące formy pracy
	a) przygotowanie do zajęć laboratoryjnych i zaliczeń – 35 h
	b) zapoznanie się z literaturą – 15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3. konsultacje – 5 h,
Razem 50 h, co odpowiada 2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zajęć laboratoryjnych – 35 h
Razem 50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(ćwiczenia komputerowe) – 15-24 os. /grupa</w:t>
      </w:r>
    </w:p>
    <w:p>
      <w:pPr>
        <w:keepNext w:val="1"/>
        <w:spacing w:after="10"/>
      </w:pPr>
      <w:r>
        <w:rPr>
          <w:b/>
          <w:bCs/>
        </w:rPr>
        <w:t xml:space="preserve">Cel przedmiotu: </w:t>
      </w:r>
    </w:p>
    <w:p>
      <w:pPr>
        <w:spacing w:before="20" w:after="190"/>
      </w:pPr>
      <w:r>
        <w:rPr/>
        <w:t xml:space="preserve">The aim of the course is to familiarize students with the principles of transmission of digital signals in telecommunication systems, as well as with an architecture, operation and fundamental technologies of the Internet and carrier-grade IP networks.</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2026-09-21T21:46:38+02:00</dcterms:created>
  <dcterms:modified xsi:type="dcterms:W3CDTF">2026-09-21T21:46:38+02:00</dcterms:modified>
</cp:coreProperties>
</file>

<file path=docProps/custom.xml><?xml version="1.0" encoding="utf-8"?>
<Properties xmlns="http://schemas.openxmlformats.org/officeDocument/2006/custom-properties" xmlns:vt="http://schemas.openxmlformats.org/officeDocument/2006/docPropsVTypes"/>
</file>