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15 godz.
b)	laboratorium – 30 godz.
c)	konsultacje – 5 godz.
Praca własna studenta – 50 godzin, w tym:
a)	30 godz. – przygotowywanie się do laboratoriów i wykładów,
b)	20 godz. – przygotowanie zadania obliczeniowego.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15  godz.,
b)	laboratorium – 30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- 70 godzin pracy studenta, w tym: 
a) udział w ćwiczeniach laboratoryjnych - 30 godzin;
b) przygotowywanie się do laboratorium i wykonanie zadania obliczeniowego 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dyskretyzacji i rozwiązywania, nieliniowe równania hiperboliczne, symulacja przepływów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 (ocena pracy studenta podczas trwania zajęć) , 60%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Zalecana literatura: 
1. Hirsch, Charles, Numerical computation of internal and external flows, 2007.
 2. Versteeg, Henk Kaarle, An introduction to computational fluid dynamics, 2007.
 Dodatkowa literatura: - materiały na stronie http://c-cfd.meil.pw.edu.pl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ML.NK489_W1: </w:t>
      </w:r>
    </w:p>
    <w:p>
      <w:pPr/>
      <w:r>
        <w:rPr/>
        <w:t xml:space="preserve">							Zna cechy zagadnienia na wartości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ML.NK489_W2: </w:t>
      </w:r>
    </w:p>
    <w:p>
      <w:pPr/>
      <w:r>
        <w:rPr/>
        <w:t xml:space="preserve">							Zna sposoby rozwiązywania układów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ML.NK489_W3: </w:t>
      </w:r>
    </w:p>
    <w:p>
      <w:pPr/>
      <w:r>
        <w:rPr/>
        <w:t xml:space="preserve">							Zna metody dyskretyzacji dla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ML.NK489_U1: </w:t>
      </w:r>
    </w:p>
    <w:p>
      <w:pPr/>
      <w:r>
        <w:rPr/>
        <w:t xml:space="preserve">							Potrafi wykorzystując pakiety komercyjne rozwiązać złożone zagadnienia cieplno-przepływowe.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ML.NK489_U2: </w:t>
      </w:r>
    </w:p>
    <w:p>
      <w:pPr/>
      <w:r>
        <w:rPr/>
        <w:t xml:space="preserve">							Potrafi zanalizować przydatność metody numerycznej do rozwiązania RRC.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ML.NK489_U3: </w:t>
      </w:r>
    </w:p>
    <w:p>
      <w:pPr/>
      <w:r>
        <w:rPr/>
        <w:t xml:space="preserve">							Potrafi wykorzystać programować zaawansowane funkcje pakietów komercyjnych.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2026-06-03T21:09:10+02:00</dcterms:created>
  <dcterms:modified xsi:type="dcterms:W3CDTF">2026-06-03T21:09:10+02:00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