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Work Environment Protection</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1110-ISISR-ISA-1101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- 20 godz., przygotowanie się do zaliczenia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 zjawisk oraz interakcji zachodzących w środowisku pracy. Rozumienie środowiskowych czynników ryzyka dla ludzkiego życie i zdrowia. Wiedza na temat podstawowych przepisów prawnych (wymagania i mechanizmy kontrolne). Zwiększenie świadomości na temat kosztów związanych z ochroną środowiska pracy</w:t>
      </w:r>
    </w:p>
    <w:p>
      <w:pPr>
        <w:keepNext w:val="1"/>
        <w:spacing w:after="10"/>
      </w:pPr>
      <w:r>
        <w:rPr>
          <w:b/>
          <w:bCs/>
        </w:rPr>
        <w:t xml:space="preserve">Treści kształcenia: </w:t>
      </w:r>
    </w:p>
    <w:p>
      <w:pPr>
        <w:spacing w:before="20" w:after="190"/>
      </w:pPr>
      <w:r>
        <w:rPr/>
        <w:t xml:space="preserve">Factors that create risks at work environment. Technical solutions influencing work environment. Structure of international and national policies related to workplace protection. Tendencies and estimations for future.
Parameters influencing indoor air quality at workplaces. Adverse effects related to polluted air. Physical and chemical components of aerosol at workplaces. Odour perception. Subjective evaluation of air quality. 
Human metabolism. Thermal comfort. Evaluation of thermal environment (moderate thermal environments).
Risks to workers health and life in hot and cold thermal environments.
Risks to workers health and life related to increased levels of gaseous pollutants and particles.
Protection of air at workplace. Vacuumed industrial processes. Ventilation systems for workplaces. Filtration of particles and gaseous pollutants. Individual solutions for human airways protection. 
Daylighting and artificial lighting at workplace environment, safety conditions and requirements for comfort.
Optical radiation, potential risk at work environment. 
Noise and vibrations at workplaces. Factors that characterise related risks, protection methods.
Electromagnetic radiation (ionizing and no ionizing), influence on man, methods of risk reduction.
Differences between industrial and non industrial workplaces. Protection of work environment vs. occupational health programs. 
Influence of work environment on productivity. Lower performance of resulting from environmental conditions that are outside optimal regions. 
Basic law regulation related to work environment (structure of the requirements and control mechanisms). 
Control of requirements based on measurements.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Before each lecture the students will have a chance to download the presentation.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pracy oraz zna podstawowe akty prawa polskiego i Unii Europejskiej oraz obowiązujące normy i przepisy z zakresu ochrony środowiska pracy. Posiada podstawową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prasę fachowa (także w języku obcym, ) i prowadzić proces samokształcenia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pracy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2026-01-02T22:33:45+01:00</dcterms:created>
  <dcterms:modified xsi:type="dcterms:W3CDTF">2026-01-02T22:33:45+01:00</dcterms:modified>
</cp:coreProperties>
</file>

<file path=docProps/custom.xml><?xml version="1.0" encoding="utf-8"?>
<Properties xmlns="http://schemas.openxmlformats.org/officeDocument/2006/custom-properties" xmlns:vt="http://schemas.openxmlformats.org/officeDocument/2006/docPropsVTypes"/>
</file>